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2A5E5A" w:rsidRDefault="00E90E49" w:rsidP="00E35559">
      <w:pPr>
        <w:pStyle w:val="3GPPHeader"/>
        <w:spacing w:after="60"/>
        <w:rPr>
          <w:sz w:val="32"/>
          <w:szCs w:val="32"/>
          <w:highlight w:val="yellow"/>
          <w:lang w:val="sv-SE"/>
        </w:rPr>
      </w:pPr>
      <w:r w:rsidRPr="002A5E5A">
        <w:rPr>
          <w:lang w:val="sv-SE"/>
        </w:rPr>
        <w:t>3GPP TSG-RAN WG</w:t>
      </w:r>
      <w:r w:rsidR="00012CA8" w:rsidRPr="002A5E5A">
        <w:rPr>
          <w:lang w:val="sv-SE"/>
        </w:rPr>
        <w:t>2</w:t>
      </w:r>
      <w:r w:rsidRPr="002A5E5A">
        <w:rPr>
          <w:lang w:val="sv-SE"/>
        </w:rPr>
        <w:t xml:space="preserve"> #</w:t>
      </w:r>
      <w:r w:rsidR="00012CA8" w:rsidRPr="002A5E5A">
        <w:rPr>
          <w:lang w:val="sv-SE"/>
        </w:rPr>
        <w:t>8</w:t>
      </w:r>
      <w:r w:rsidR="00100F45" w:rsidRPr="002A5E5A">
        <w:rPr>
          <w:lang w:val="sv-SE"/>
        </w:rPr>
        <w:t>9</w:t>
      </w:r>
      <w:r w:rsidR="00527027" w:rsidRPr="002A5E5A">
        <w:rPr>
          <w:lang w:val="sv-SE"/>
        </w:rPr>
        <w:t>bis</w:t>
      </w:r>
      <w:r w:rsidRPr="002A5E5A">
        <w:rPr>
          <w:lang w:val="sv-SE"/>
        </w:rPr>
        <w:tab/>
      </w:r>
      <w:r w:rsidRPr="002A5E5A">
        <w:rPr>
          <w:sz w:val="32"/>
          <w:szCs w:val="32"/>
          <w:lang w:val="sv-SE"/>
        </w:rPr>
        <w:t xml:space="preserve">Tdoc </w:t>
      </w:r>
      <w:r w:rsidR="00091557" w:rsidRPr="002A5E5A">
        <w:rPr>
          <w:sz w:val="32"/>
          <w:szCs w:val="32"/>
          <w:lang w:val="sv-SE"/>
        </w:rPr>
        <w:t>R2-</w:t>
      </w:r>
      <w:r w:rsidR="005F3025" w:rsidRPr="002A5E5A">
        <w:rPr>
          <w:sz w:val="32"/>
          <w:szCs w:val="32"/>
          <w:lang w:val="sv-SE"/>
        </w:rPr>
        <w:t>1</w:t>
      </w:r>
      <w:r w:rsidR="003E021C" w:rsidRPr="002A5E5A">
        <w:rPr>
          <w:sz w:val="32"/>
          <w:szCs w:val="32"/>
          <w:lang w:val="sv-SE"/>
        </w:rPr>
        <w:t>51369</w:t>
      </w:r>
    </w:p>
    <w:p w:rsidR="00143008" w:rsidRPr="004E7A9A" w:rsidRDefault="00527027" w:rsidP="00143008">
      <w:pPr>
        <w:pStyle w:val="3GPPHeader"/>
        <w:rPr>
          <w:lang w:val="sv-SE"/>
        </w:rPr>
      </w:pPr>
      <w:r w:rsidRPr="004E7A9A">
        <w:rPr>
          <w:lang w:val="sv-SE"/>
        </w:rPr>
        <w:t>Bratislava</w:t>
      </w:r>
      <w:r w:rsidR="00143008" w:rsidRPr="004E7A9A">
        <w:rPr>
          <w:lang w:val="sv-SE"/>
        </w:rPr>
        <w:t xml:space="preserve">, </w:t>
      </w:r>
      <w:r w:rsidRPr="004E7A9A">
        <w:rPr>
          <w:lang w:val="sv-SE"/>
        </w:rPr>
        <w:t>Slovakia</w:t>
      </w:r>
      <w:r w:rsidR="00143008" w:rsidRPr="004E7A9A">
        <w:rPr>
          <w:lang w:val="sv-SE"/>
        </w:rPr>
        <w:t xml:space="preserve">, </w:t>
      </w:r>
      <w:r w:rsidRPr="004E7A9A">
        <w:rPr>
          <w:lang w:val="sv-SE"/>
        </w:rPr>
        <w:t>20</w:t>
      </w:r>
      <w:r w:rsidR="00143008" w:rsidRPr="004E7A9A">
        <w:rPr>
          <w:lang w:val="sv-SE"/>
        </w:rPr>
        <w:t>–</w:t>
      </w:r>
      <w:r w:rsidRPr="004E7A9A">
        <w:rPr>
          <w:lang w:val="sv-SE"/>
        </w:rPr>
        <w:t>24</w:t>
      </w:r>
      <w:r w:rsidR="00143008" w:rsidRPr="004E7A9A">
        <w:rPr>
          <w:lang w:val="sv-SE"/>
        </w:rPr>
        <w:t xml:space="preserve"> </w:t>
      </w:r>
      <w:r w:rsidRPr="004E7A9A">
        <w:rPr>
          <w:lang w:val="sv-SE"/>
        </w:rPr>
        <w:t>Apr</w:t>
      </w:r>
      <w:r w:rsidR="0032460C" w:rsidRPr="004E7A9A">
        <w:rPr>
          <w:lang w:val="sv-SE"/>
        </w:rPr>
        <w:t xml:space="preserve"> </w:t>
      </w:r>
      <w:r w:rsidR="00143008" w:rsidRPr="004E7A9A">
        <w:rPr>
          <w:lang w:val="sv-SE"/>
        </w:rPr>
        <w:t>201</w:t>
      </w:r>
      <w:r w:rsidR="00100F45" w:rsidRPr="004E7A9A">
        <w:rPr>
          <w:lang w:val="sv-SE"/>
        </w:rPr>
        <w:t>5</w:t>
      </w:r>
    </w:p>
    <w:p w:rsidR="00E90E49" w:rsidRPr="002A5E5A" w:rsidRDefault="00E90E49" w:rsidP="00311702">
      <w:pPr>
        <w:pStyle w:val="3GPPHeader"/>
        <w:rPr>
          <w:sz w:val="22"/>
          <w:szCs w:val="22"/>
          <w:lang w:val="en-US"/>
        </w:rPr>
      </w:pPr>
      <w:r w:rsidRPr="002A5E5A">
        <w:rPr>
          <w:sz w:val="22"/>
          <w:szCs w:val="22"/>
          <w:lang w:val="en-US"/>
        </w:rPr>
        <w:t>Agenda Item:</w:t>
      </w:r>
      <w:r w:rsidRPr="002A5E5A">
        <w:rPr>
          <w:sz w:val="22"/>
          <w:szCs w:val="22"/>
          <w:lang w:val="en-US"/>
        </w:rPr>
        <w:tab/>
      </w:r>
      <w:r w:rsidR="003E021C" w:rsidRPr="002A5E5A">
        <w:rPr>
          <w:sz w:val="22"/>
          <w:szCs w:val="22"/>
          <w:lang w:val="en-US"/>
        </w:rPr>
        <w:t>6.1.1</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4E7A9A" w:rsidRPr="004E7A9A">
        <w:rPr>
          <w:sz w:val="22"/>
          <w:szCs w:val="22"/>
        </w:rPr>
        <w:t>Email discussion rapporteur (Ericsson)</w:t>
      </w:r>
    </w:p>
    <w:p w:rsidR="00E90E49" w:rsidRPr="00CE0424" w:rsidRDefault="003D3C45" w:rsidP="004E7A9A">
      <w:pPr>
        <w:pStyle w:val="3GPPHeader"/>
        <w:rPr>
          <w:sz w:val="22"/>
          <w:szCs w:val="22"/>
        </w:rPr>
      </w:pPr>
      <w:r>
        <w:rPr>
          <w:sz w:val="22"/>
          <w:szCs w:val="22"/>
        </w:rPr>
        <w:t>Title:</w:t>
      </w:r>
      <w:r w:rsidR="00C751F1">
        <w:rPr>
          <w:sz w:val="22"/>
          <w:szCs w:val="22"/>
        </w:rPr>
        <w:tab/>
      </w:r>
      <w:r w:rsidR="00C751F1" w:rsidRPr="00C751F1">
        <w:rPr>
          <w:sz w:val="22"/>
          <w:szCs w:val="22"/>
        </w:rPr>
        <w:t>[89#21][LTE/CA] Capability signalling for contiguous CA (Ericsson)</w:t>
      </w:r>
      <w:r w:rsidR="004E7A9A">
        <w:rPr>
          <w:sz w:val="22"/>
          <w:szCs w:val="22"/>
        </w:rPr>
        <w:br/>
      </w:r>
      <w:r w:rsidR="004E7A9A">
        <w:rPr>
          <w:sz w:val="22"/>
          <w:szCs w:val="22"/>
        </w:rPr>
        <w:tab/>
      </w:r>
      <w:r w:rsidR="004E7A9A">
        <w:rPr>
          <w:lang w:val="en-US" w:eastAsia="ja-JP"/>
        </w:rPr>
        <w:t>Email Discussion Report</w:t>
      </w:r>
    </w:p>
    <w:p w:rsidR="00E90E49" w:rsidRPr="00CE0424" w:rsidRDefault="00E90E49" w:rsidP="00D546FF">
      <w:pPr>
        <w:pStyle w:val="3GPPHeader"/>
        <w:rPr>
          <w:sz w:val="22"/>
          <w:szCs w:val="22"/>
        </w:rPr>
      </w:pPr>
      <w:r w:rsidRPr="00CE0424">
        <w:rPr>
          <w:sz w:val="22"/>
          <w:szCs w:val="22"/>
        </w:rPr>
        <w:t xml:space="preserve">Document </w:t>
      </w:r>
      <w:r w:rsidRPr="003E021C">
        <w:rPr>
          <w:sz w:val="22"/>
          <w:szCs w:val="22"/>
        </w:rPr>
        <w:t>for:</w:t>
      </w:r>
      <w:r w:rsidRPr="003E021C">
        <w:rPr>
          <w:sz w:val="22"/>
          <w:szCs w:val="22"/>
        </w:rPr>
        <w:tab/>
        <w:t>Discussion, Decision</w:t>
      </w:r>
    </w:p>
    <w:p w:rsidR="00E90E49" w:rsidRPr="00CE0424" w:rsidRDefault="00E90E49" w:rsidP="00CE0424">
      <w:pPr>
        <w:pStyle w:val="Heading1"/>
      </w:pPr>
      <w:r w:rsidRPr="00CE0424">
        <w:t>Introduction</w:t>
      </w:r>
    </w:p>
    <w:p w:rsidR="004E7A9A" w:rsidRDefault="004E7A9A" w:rsidP="004E7A9A">
      <w:pPr>
        <w:rPr>
          <w:lang w:eastAsia="ja-JP"/>
        </w:rPr>
      </w:pPr>
      <w:r>
        <w:rPr>
          <w:rFonts w:hint="eastAsia"/>
          <w:lang w:eastAsia="ja-JP"/>
        </w:rPr>
        <w:t>The purpose of this email discussion is to address the following points</w:t>
      </w:r>
      <w:r w:rsidR="008C081A">
        <w:rPr>
          <w:rFonts w:hint="eastAsia"/>
          <w:lang w:eastAsia="ja-JP"/>
        </w:rPr>
        <w:t xml:space="preserve"> (as captured by RAN2 chairman)</w:t>
      </w:r>
      <w:r w:rsidR="008C081A">
        <w:rPr>
          <w:lang w:eastAsia="ja-JP"/>
        </w:rPr>
        <w:t>:</w:t>
      </w:r>
    </w:p>
    <w:p w:rsidR="00C751F1" w:rsidRDefault="00C751F1" w:rsidP="00C751F1">
      <w:pPr>
        <w:pStyle w:val="Doc-title"/>
      </w:pPr>
      <w:r>
        <w:t>[89#21][LTE/CA] Capability signalling for c</w:t>
      </w:r>
      <w:r w:rsidRPr="00344A9E">
        <w:t xml:space="preserve">ontiguous CA </w:t>
      </w:r>
      <w:r>
        <w:t>(Ericsson)</w:t>
      </w:r>
    </w:p>
    <w:p w:rsidR="00C751F1" w:rsidRDefault="00C751F1" w:rsidP="00C751F1">
      <w:pPr>
        <w:pStyle w:val="Doc-text2"/>
      </w:pPr>
      <w:r>
        <w:t>-</w:t>
      </w:r>
      <w:r>
        <w:tab/>
        <w:t>Discuss which additional flexibility is required and which signalling option supports that with least signalling overhead and least complexity</w:t>
      </w:r>
    </w:p>
    <w:p w:rsidR="00C751F1" w:rsidRDefault="00C751F1" w:rsidP="00C751F1">
      <w:pPr>
        <w:pStyle w:val="Doc-text2"/>
      </w:pPr>
      <w:r>
        <w:t>=&gt;</w:t>
      </w:r>
      <w:r>
        <w:tab/>
        <w:t>Intended outcome: Email discussion report and optionally CRs</w:t>
      </w:r>
      <w:r w:rsidRPr="00D74ABC">
        <w:t xml:space="preserve"> to RAN2-89bis</w:t>
      </w:r>
    </w:p>
    <w:p w:rsidR="004E7A9A" w:rsidRDefault="004E7A9A" w:rsidP="00C751F1">
      <w:pPr>
        <w:pStyle w:val="Doc-title"/>
      </w:pPr>
    </w:p>
    <w:p w:rsidR="00F541A0" w:rsidRDefault="00F541A0" w:rsidP="00F541A0">
      <w:r>
        <w:t>In [1], the limitations for contiguous CA capability signalling when it comes to the number of MIMO layers and the maximum number of CSI processes was discussed. For conti</w:t>
      </w:r>
      <w:r w:rsidR="00797121">
        <w:t>g</w:t>
      </w:r>
      <w:r>
        <w:t xml:space="preserve">uous CA, the existing signalling does not allow the UE to signal its supported capabilities per component carrier. This was claimed to give less flexibility (than for inter-band and intra-band non-continuous CA band capability signalling) for the UE to offer the full extent of the UE baseband processing capability. </w:t>
      </w:r>
    </w:p>
    <w:p w:rsidR="00F541A0" w:rsidRDefault="00F541A0" w:rsidP="00F541A0">
      <w:r>
        <w:t>As captured in chairman’s notes from RAN2#89:</w:t>
      </w:r>
    </w:p>
    <w:p w:rsidR="00F541A0" w:rsidRPr="00F541A0" w:rsidRDefault="00F541A0" w:rsidP="00F541A0">
      <w:pPr>
        <w:ind w:left="567"/>
        <w:rPr>
          <w:i/>
        </w:rPr>
      </w:pPr>
      <w:r w:rsidRPr="00CA3C80">
        <w:rPr>
          <w:i/>
        </w:rPr>
        <w:t xml:space="preserve">RAN2 intends to enable more flexibility in the capability signalling for intra-band contiguous CA. The detailed signalling will be discussed via email. </w:t>
      </w:r>
    </w:p>
    <w:p w:rsidR="004E7A9A" w:rsidRDefault="004E7A9A" w:rsidP="004E7A9A">
      <w:pPr>
        <w:pStyle w:val="Heading1"/>
      </w:pPr>
      <w:r>
        <w:t>Discussion</w:t>
      </w:r>
    </w:p>
    <w:p w:rsidR="00CA3C80" w:rsidRDefault="00F65DDA" w:rsidP="008C081A">
      <w:r>
        <w:t>So far, two different signalling</w:t>
      </w:r>
      <w:r w:rsidR="00F541A0">
        <w:t xml:space="preserve"> proposals have been presented, representing two different principles</w:t>
      </w:r>
      <w:r w:rsidR="006112E4">
        <w:t>,</w:t>
      </w:r>
      <w:r w:rsidR="00F541A0">
        <w:t xml:space="preserve"> to extend the existing band combination capability signalling</w:t>
      </w:r>
    </w:p>
    <w:p w:rsidR="00F541A0" w:rsidRDefault="00086348" w:rsidP="00F541A0">
      <w:r>
        <w:t>Solution</w:t>
      </w:r>
      <w:r w:rsidR="00F541A0">
        <w:t xml:space="preserve"> 1 </w:t>
      </w:r>
    </w:p>
    <w:p w:rsidR="00F541A0" w:rsidRDefault="00F541A0" w:rsidP="006112E4">
      <w:pPr>
        <w:ind w:left="567"/>
        <w:rPr>
          <w:lang w:val="en-US"/>
        </w:rPr>
      </w:pPr>
      <w:r>
        <w:t xml:space="preserve">In [1], it was proposed to solve the limitations of existing contiguous CA capability signalling by introducing a new </w:t>
      </w:r>
      <w:r w:rsidR="006112E4">
        <w:t>“</w:t>
      </w:r>
      <w:r>
        <w:t xml:space="preserve">bandwidth class (Z). Examples given were that CA_25C would be signalled as </w:t>
      </w:r>
      <w:r>
        <w:rPr>
          <w:lang w:val="en-US"/>
        </w:rPr>
        <w:t>CA_25Z_25Z, and CA_25D would be signaled as CA_25Z_25Z_25Z. For backward compatibility reasons, both variants would be signaled, hence consuming two band combination instances in the capability signaling.</w:t>
      </w:r>
    </w:p>
    <w:p w:rsidR="00F541A0" w:rsidRDefault="004E08F4" w:rsidP="00F541A0">
      <w:r>
        <w:t xml:space="preserve"> </w:t>
      </w:r>
      <w:r w:rsidR="00086348">
        <w:t>Solution</w:t>
      </w:r>
      <w:r w:rsidR="00CA3C80">
        <w:t xml:space="preserve"> </w:t>
      </w:r>
      <w:r w:rsidR="00F541A0">
        <w:t>2</w:t>
      </w:r>
    </w:p>
    <w:p w:rsidR="00F7085A" w:rsidRDefault="006112E4" w:rsidP="00F7085A">
      <w:pPr>
        <w:ind w:left="360"/>
      </w:pPr>
      <w:r>
        <w:t xml:space="preserve">In [2], it was proposed to add </w:t>
      </w:r>
      <w:r w:rsidR="00F541A0">
        <w:t>new fields per band combination that are applicable for the case of conti</w:t>
      </w:r>
      <w:r w:rsidR="00797121">
        <w:t>g</w:t>
      </w:r>
      <w:r w:rsidR="00F541A0">
        <w:t>uous CA band combinations</w:t>
      </w:r>
      <w:r w:rsidR="00F541A0" w:rsidRPr="004250E5">
        <w:t xml:space="preserve"> </w:t>
      </w:r>
      <w:r w:rsidR="00F541A0">
        <w:t xml:space="preserve">only. </w:t>
      </w:r>
      <w:r w:rsidR="00F7085A">
        <w:t xml:space="preserve">These new fields would indicate </w:t>
      </w:r>
    </w:p>
    <w:p w:rsidR="00F7085A" w:rsidRDefault="00F7085A" w:rsidP="00F7085A">
      <w:pPr>
        <w:numPr>
          <w:ilvl w:val="0"/>
          <w:numId w:val="16"/>
        </w:numPr>
        <w:ind w:left="1080"/>
      </w:pPr>
      <w:r>
        <w:t xml:space="preserve">the number of MIMO layers and the number of CSI processes that the UE can support in total across all component carriers of the contiguous CA configuration. </w:t>
      </w:r>
    </w:p>
    <w:p w:rsidR="00F7085A" w:rsidRDefault="00F7085A" w:rsidP="00F7085A">
      <w:pPr>
        <w:numPr>
          <w:ilvl w:val="0"/>
          <w:numId w:val="16"/>
        </w:numPr>
        <w:ind w:left="1080"/>
      </w:pPr>
      <w:r>
        <w:t>maximum number of MIMO layers and CSI processes that UE support per each component carrier.</w:t>
      </w:r>
    </w:p>
    <w:p w:rsidR="00F541A0" w:rsidRDefault="00F541A0" w:rsidP="00F7085A">
      <w:pPr>
        <w:ind w:left="360"/>
      </w:pPr>
      <w:r>
        <w:t xml:space="preserve">The eNB can then configure MIMO layers and CSI processes for each component carrier, respecting both the limits on total number of MIMO layers and CSI processes and what can be supported by each component carrier. For backwards compatibility, UE need to populate the existing fields for MIMO and CSI capabilities. </w:t>
      </w:r>
    </w:p>
    <w:p w:rsidR="00F541A0" w:rsidRDefault="00086348" w:rsidP="008C081A">
      <w:r>
        <w:lastRenderedPageBreak/>
        <w:t xml:space="preserve">During RAN2#89 discussion, it was claimed that </w:t>
      </w:r>
      <w:r w:rsidR="009E138D">
        <w:t>Solution</w:t>
      </w:r>
      <w:r>
        <w:t xml:space="preserve"> 2 would result in less signalling overhead, while not giving the same level of flexibility t</w:t>
      </w:r>
      <w:r w:rsidR="00F71A8D">
        <w:t>o UE implementation as Solution</w:t>
      </w:r>
      <w:r w:rsidR="009E138D">
        <w:t xml:space="preserve"> 1</w:t>
      </w:r>
      <w:r>
        <w:t xml:space="preserve">. </w:t>
      </w:r>
    </w:p>
    <w:p w:rsidR="00F71A8D" w:rsidRDefault="00F71A8D" w:rsidP="008C081A">
      <w:r>
        <w:t xml:space="preserve">Companies are asked to provide their comments on the </w:t>
      </w:r>
      <w:r w:rsidR="009E138D">
        <w:t>two</w:t>
      </w:r>
      <w:r>
        <w:t xml:space="preserve"> proposals, </w:t>
      </w:r>
      <w:r w:rsidR="00FD4298">
        <w:t xml:space="preserve">and </w:t>
      </w:r>
      <w:r>
        <w:t>consider e.g.</w:t>
      </w:r>
    </w:p>
    <w:p w:rsidR="00F71A8D" w:rsidRDefault="00F71A8D" w:rsidP="00F71A8D">
      <w:pPr>
        <w:numPr>
          <w:ilvl w:val="0"/>
          <w:numId w:val="16"/>
        </w:numPr>
      </w:pPr>
      <w:r>
        <w:t>Impact on signalling</w:t>
      </w:r>
      <w:r w:rsidR="00911332">
        <w:t>/ASN.1</w:t>
      </w:r>
    </w:p>
    <w:p w:rsidR="00F71A8D" w:rsidRDefault="003808A7" w:rsidP="00F71A8D">
      <w:pPr>
        <w:numPr>
          <w:ilvl w:val="0"/>
          <w:numId w:val="16"/>
        </w:numPr>
      </w:pPr>
      <w:r>
        <w:t>Signalling overhead</w:t>
      </w:r>
      <w:r w:rsidR="00911332">
        <w:t xml:space="preserve"> (size and number of band combination instances)</w:t>
      </w:r>
    </w:p>
    <w:p w:rsidR="003808A7" w:rsidRDefault="003808A7" w:rsidP="00F71A8D">
      <w:pPr>
        <w:numPr>
          <w:ilvl w:val="0"/>
          <w:numId w:val="16"/>
        </w:numPr>
      </w:pPr>
      <w:r>
        <w:t>Flexi</w:t>
      </w:r>
      <w:r w:rsidR="00911332">
        <w:t>bility/restriction for UE</w:t>
      </w:r>
    </w:p>
    <w:p w:rsidR="00911332" w:rsidRDefault="00911332" w:rsidP="00F71A8D">
      <w:pPr>
        <w:numPr>
          <w:ilvl w:val="0"/>
          <w:numId w:val="16"/>
        </w:numPr>
      </w:pPr>
      <w:r>
        <w:t>Flexibility/restriction for eNB</w:t>
      </w:r>
    </w:p>
    <w:p w:rsidR="00911332" w:rsidRDefault="00911332" w:rsidP="00F71A8D">
      <w:pPr>
        <w:numPr>
          <w:ilvl w:val="0"/>
          <w:numId w:val="16"/>
        </w:numPr>
      </w:pPr>
      <w:r>
        <w:t>Backward compatibility aspects</w:t>
      </w:r>
    </w:p>
    <w:p w:rsidR="004E7A9A" w:rsidRDefault="004E7A9A" w:rsidP="004E7A9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701"/>
        <w:gridCol w:w="6345"/>
      </w:tblGrid>
      <w:tr w:rsidR="004E7A9A" w:rsidRPr="0072301B" w:rsidTr="0046063C">
        <w:tc>
          <w:tcPr>
            <w:tcW w:w="1809" w:type="dxa"/>
          </w:tcPr>
          <w:p w:rsidR="004E7A9A" w:rsidRPr="0072301B" w:rsidRDefault="00F71A8D" w:rsidP="0046063C">
            <w:pPr>
              <w:rPr>
                <w:lang w:val="en-US"/>
              </w:rPr>
            </w:pPr>
            <w:r w:rsidRPr="0072301B">
              <w:rPr>
                <w:lang w:val="en-US"/>
              </w:rPr>
              <w:t>Company</w:t>
            </w:r>
          </w:p>
        </w:tc>
        <w:tc>
          <w:tcPr>
            <w:tcW w:w="1701" w:type="dxa"/>
          </w:tcPr>
          <w:p w:rsidR="004E7A9A" w:rsidRPr="0072301B" w:rsidRDefault="00086348" w:rsidP="0046063C">
            <w:pPr>
              <w:rPr>
                <w:lang w:val="en-US"/>
              </w:rPr>
            </w:pPr>
            <w:r w:rsidRPr="0072301B">
              <w:rPr>
                <w:lang w:val="en-US"/>
              </w:rPr>
              <w:t>Preferred solution, 1 or 2</w:t>
            </w:r>
          </w:p>
        </w:tc>
        <w:tc>
          <w:tcPr>
            <w:tcW w:w="6345" w:type="dxa"/>
          </w:tcPr>
          <w:p w:rsidR="004E7A9A" w:rsidRPr="0072301B" w:rsidRDefault="00086348" w:rsidP="0046063C">
            <w:pPr>
              <w:rPr>
                <w:lang w:val="en-US"/>
              </w:rPr>
            </w:pPr>
            <w:r w:rsidRPr="0072301B">
              <w:rPr>
                <w:lang w:val="en-US"/>
              </w:rPr>
              <w:t>M</w:t>
            </w:r>
            <w:r w:rsidR="00FD4298" w:rsidRPr="0072301B">
              <w:rPr>
                <w:lang w:val="en-US"/>
              </w:rPr>
              <w:t>otivation and c</w:t>
            </w:r>
            <w:r w:rsidRPr="0072301B">
              <w:rPr>
                <w:lang w:val="en-US"/>
              </w:rPr>
              <w:t>omments</w:t>
            </w:r>
          </w:p>
        </w:tc>
      </w:tr>
      <w:tr w:rsidR="004E7A9A" w:rsidRPr="0072301B" w:rsidTr="0046063C">
        <w:tc>
          <w:tcPr>
            <w:tcW w:w="1809" w:type="dxa"/>
          </w:tcPr>
          <w:p w:rsidR="004E7A9A" w:rsidRPr="0072301B" w:rsidRDefault="00A42AD2" w:rsidP="0046063C">
            <w:pPr>
              <w:rPr>
                <w:lang w:val="en-US" w:eastAsia="ja-JP"/>
              </w:rPr>
            </w:pPr>
            <w:r w:rsidRPr="0072301B">
              <w:rPr>
                <w:rFonts w:hint="eastAsia"/>
                <w:lang w:val="en-US" w:eastAsia="ja-JP"/>
              </w:rPr>
              <w:t>NTT DOCOMO</w:t>
            </w:r>
          </w:p>
        </w:tc>
        <w:tc>
          <w:tcPr>
            <w:tcW w:w="1701" w:type="dxa"/>
          </w:tcPr>
          <w:p w:rsidR="004E7A9A" w:rsidRPr="0072301B" w:rsidRDefault="00A42AD2" w:rsidP="0046063C">
            <w:pPr>
              <w:rPr>
                <w:lang w:val="en-US" w:eastAsia="ja-JP"/>
              </w:rPr>
            </w:pPr>
            <w:r w:rsidRPr="0072301B">
              <w:rPr>
                <w:rFonts w:hint="eastAsia"/>
                <w:lang w:val="en-US" w:eastAsia="ja-JP"/>
              </w:rPr>
              <w:t>Solution 2 with some simplifications</w:t>
            </w:r>
          </w:p>
        </w:tc>
        <w:tc>
          <w:tcPr>
            <w:tcW w:w="6345" w:type="dxa"/>
          </w:tcPr>
          <w:p w:rsidR="004E7A9A" w:rsidRPr="0072301B" w:rsidRDefault="00A42AD2" w:rsidP="0046063C">
            <w:pPr>
              <w:rPr>
                <w:lang w:val="en-US" w:eastAsia="ja-JP"/>
              </w:rPr>
            </w:pPr>
            <w:r w:rsidRPr="0072301B">
              <w:rPr>
                <w:rFonts w:hint="eastAsia"/>
                <w:lang w:val="en-US" w:eastAsia="ja-JP"/>
              </w:rPr>
              <w:t xml:space="preserve">Although Solution 1 can provide </w:t>
            </w:r>
            <w:r w:rsidR="00D22BC2">
              <w:rPr>
                <w:rFonts w:hint="eastAsia"/>
                <w:lang w:val="en-US" w:eastAsia="ja-JP"/>
              </w:rPr>
              <w:t>the full</w:t>
            </w:r>
            <w:r w:rsidR="008D0C43" w:rsidRPr="0072301B">
              <w:rPr>
                <w:rFonts w:hint="eastAsia"/>
                <w:lang w:val="en-US" w:eastAsia="ja-JP"/>
              </w:rPr>
              <w:t xml:space="preserve"> flexibility </w:t>
            </w:r>
            <w:r w:rsidR="00C65B8E" w:rsidRPr="0072301B">
              <w:rPr>
                <w:rFonts w:hint="eastAsia"/>
                <w:lang w:val="en-US" w:eastAsia="ja-JP"/>
              </w:rPr>
              <w:t>enabling</w:t>
            </w:r>
            <w:r w:rsidR="008D0C43" w:rsidRPr="0072301B">
              <w:rPr>
                <w:rFonts w:hint="eastAsia"/>
                <w:lang w:val="en-US" w:eastAsia="ja-JP"/>
              </w:rPr>
              <w:t xml:space="preserve"> to indicate the supported MIMO layers/CSI processes for </w:t>
            </w:r>
            <w:r w:rsidR="00C65B8E" w:rsidRPr="0072301B">
              <w:rPr>
                <w:rFonts w:hint="eastAsia"/>
                <w:lang w:val="en-US" w:eastAsia="ja-JP"/>
              </w:rPr>
              <w:t xml:space="preserve">each CC, </w:t>
            </w:r>
            <w:r w:rsidR="008D0C43" w:rsidRPr="0072301B">
              <w:rPr>
                <w:rFonts w:hint="eastAsia"/>
                <w:lang w:val="en-US" w:eastAsia="ja-JP"/>
              </w:rPr>
              <w:t>the le</w:t>
            </w:r>
            <w:r w:rsidR="00C65B8E" w:rsidRPr="0072301B">
              <w:rPr>
                <w:rFonts w:hint="eastAsia"/>
                <w:lang w:val="en-US" w:eastAsia="ja-JP"/>
              </w:rPr>
              <w:t xml:space="preserve">gacy capability (e.g., 25C, 25D) is required to report </w:t>
            </w:r>
            <w:r w:rsidR="00D22BC2">
              <w:rPr>
                <w:rFonts w:hint="eastAsia"/>
                <w:lang w:val="en-US" w:eastAsia="ja-JP"/>
              </w:rPr>
              <w:t>al</w:t>
            </w:r>
            <w:r w:rsidR="00117BBB" w:rsidRPr="0072301B">
              <w:rPr>
                <w:rFonts w:hint="eastAsia"/>
                <w:lang w:val="en-US" w:eastAsia="ja-JP"/>
              </w:rPr>
              <w:t>tog</w:t>
            </w:r>
            <w:r w:rsidR="00D22BC2">
              <w:rPr>
                <w:rFonts w:hint="eastAsia"/>
                <w:lang w:val="en-US" w:eastAsia="ja-JP"/>
              </w:rPr>
              <w:t>e</w:t>
            </w:r>
            <w:r w:rsidR="00117BBB" w:rsidRPr="0072301B">
              <w:rPr>
                <w:rFonts w:hint="eastAsia"/>
                <w:lang w:val="en-US" w:eastAsia="ja-JP"/>
              </w:rPr>
              <w:t>ther</w:t>
            </w:r>
            <w:r w:rsidR="008D0C43" w:rsidRPr="0072301B">
              <w:rPr>
                <w:rFonts w:hint="eastAsia"/>
                <w:lang w:val="en-US" w:eastAsia="ja-JP"/>
              </w:rPr>
              <w:t xml:space="preserve"> for backward compatibility which result</w:t>
            </w:r>
            <w:r w:rsidR="00C65B8E" w:rsidRPr="0072301B">
              <w:rPr>
                <w:rFonts w:hint="eastAsia"/>
                <w:lang w:val="en-US" w:eastAsia="ja-JP"/>
              </w:rPr>
              <w:t>s</w:t>
            </w:r>
            <w:r w:rsidR="008D0C43" w:rsidRPr="0072301B">
              <w:rPr>
                <w:rFonts w:hint="eastAsia"/>
                <w:lang w:val="en-US" w:eastAsia="ja-JP"/>
              </w:rPr>
              <w:t xml:space="preserve"> in increasing the </w:t>
            </w:r>
            <w:r w:rsidR="008D0C43" w:rsidRPr="0072301B">
              <w:rPr>
                <w:lang w:val="en-US" w:eastAsia="ja-JP"/>
              </w:rPr>
              <w:t>signaling</w:t>
            </w:r>
            <w:r w:rsidR="008D0C43" w:rsidRPr="0072301B">
              <w:rPr>
                <w:rFonts w:hint="eastAsia"/>
                <w:lang w:val="en-US" w:eastAsia="ja-JP"/>
              </w:rPr>
              <w:t xml:space="preserve"> overhead. </w:t>
            </w:r>
            <w:r w:rsidR="00C65B8E" w:rsidRPr="0072301B">
              <w:rPr>
                <w:rFonts w:hint="eastAsia"/>
                <w:lang w:val="en-US" w:eastAsia="ja-JP"/>
              </w:rPr>
              <w:t xml:space="preserve">In contrast, Solution 2 is less flexible and so the eNB has to decide the number of MIMO layers/CSI processes for each CC to be configured. Nevertheless, it seems not a significant drawback as long as </w:t>
            </w:r>
            <w:r w:rsidR="003579EB" w:rsidRPr="0072301B">
              <w:rPr>
                <w:rFonts w:hint="eastAsia"/>
                <w:lang w:val="en-US" w:eastAsia="ja-JP"/>
              </w:rPr>
              <w:t>the UE supports all the possible configurations within the total number of MIMO layers/CSI processes.</w:t>
            </w:r>
          </w:p>
          <w:p w:rsidR="003579EB" w:rsidRPr="0072301B" w:rsidRDefault="003579EB" w:rsidP="0046063C">
            <w:pPr>
              <w:rPr>
                <w:lang w:val="en-US" w:eastAsia="ja-JP"/>
              </w:rPr>
            </w:pPr>
            <w:r w:rsidRPr="0072301B">
              <w:rPr>
                <w:rFonts w:hint="eastAsia"/>
                <w:lang w:val="en-US" w:eastAsia="ja-JP"/>
              </w:rPr>
              <w:t xml:space="preserve">On Solution 2, the maximum number of MIMO layers/CSI processes per CC may not be needed since the existing </w:t>
            </w:r>
            <w:r w:rsidRPr="0072301B">
              <w:rPr>
                <w:lang w:val="en-US" w:eastAsia="ja-JP"/>
              </w:rPr>
              <w:t>signaling</w:t>
            </w:r>
            <w:r w:rsidRPr="0072301B">
              <w:rPr>
                <w:rFonts w:hint="eastAsia"/>
                <w:lang w:val="en-US" w:eastAsia="ja-JP"/>
              </w:rPr>
              <w:t xml:space="preserve"> can be used to derive the value. For instance, if support of 4 MIMO layers is indicated for CA_25C, it can be interpreted that 4 layers-MIMO is supported for both two CCs at maximum. In that sense, the total number of MIMO layers/CSI processes across </w:t>
            </w:r>
            <w:r w:rsidR="00D22BC2">
              <w:rPr>
                <w:rFonts w:hint="eastAsia"/>
                <w:lang w:val="en-US" w:eastAsia="ja-JP"/>
              </w:rPr>
              <w:t xml:space="preserve">all </w:t>
            </w:r>
            <w:r w:rsidRPr="0072301B">
              <w:rPr>
                <w:rFonts w:hint="eastAsia"/>
                <w:lang w:val="en-US" w:eastAsia="ja-JP"/>
              </w:rPr>
              <w:t xml:space="preserve">contiguous CCs is sufficient to indicate additionally. </w:t>
            </w:r>
            <w:r w:rsidR="003C5B56" w:rsidRPr="0072301B">
              <w:rPr>
                <w:rFonts w:hint="eastAsia"/>
                <w:lang w:val="en-US" w:eastAsia="ja-JP"/>
              </w:rPr>
              <w:t xml:space="preserve">In addition, the issue discussed here is for the case where the UE cannot support the total number of MIMO layers/CSI processes indicated by the existing CA capability </w:t>
            </w:r>
            <w:r w:rsidR="003C5B56" w:rsidRPr="0072301B">
              <w:rPr>
                <w:lang w:val="en-US" w:eastAsia="ja-JP"/>
              </w:rPr>
              <w:t>signaling</w:t>
            </w:r>
            <w:r w:rsidR="003C5B56" w:rsidRPr="0072301B">
              <w:rPr>
                <w:rFonts w:hint="eastAsia"/>
                <w:lang w:val="en-US" w:eastAsia="ja-JP"/>
              </w:rPr>
              <w:t>. The additional parameter is needed only for that case. In conclusion, we propose to simplify Solution 2 as follows:</w:t>
            </w:r>
          </w:p>
          <w:p w:rsidR="003C5B56" w:rsidRPr="0072301B" w:rsidRDefault="003C5B56" w:rsidP="0046063C">
            <w:pPr>
              <w:rPr>
                <w:lang w:val="en-US" w:eastAsia="ja-JP"/>
              </w:rPr>
            </w:pPr>
          </w:p>
          <w:p w:rsidR="003C5B56" w:rsidRPr="0072301B" w:rsidRDefault="003C5B56" w:rsidP="0046063C">
            <w:pPr>
              <w:rPr>
                <w:lang w:val="en-US" w:eastAsia="ja-JP"/>
              </w:rPr>
            </w:pPr>
            <w:r w:rsidRPr="0072301B">
              <w:rPr>
                <w:rFonts w:hint="eastAsia"/>
                <w:lang w:val="en-US" w:eastAsia="ja-JP"/>
              </w:rPr>
              <w:t>If the UE cannot support the total number of MIMO layers/CSI processes indicated by the existing contiguous CA band combination capability, the UE additionally indicates the number of supported MIMO layers/CSI processes across all CCs of that band combination.</w:t>
            </w:r>
          </w:p>
        </w:tc>
      </w:tr>
      <w:tr w:rsidR="00F71A8D" w:rsidRPr="0072301B" w:rsidTr="0046063C">
        <w:tc>
          <w:tcPr>
            <w:tcW w:w="1809" w:type="dxa"/>
          </w:tcPr>
          <w:p w:rsidR="00F71A8D" w:rsidRPr="0072301B" w:rsidRDefault="00B957B2" w:rsidP="0046063C">
            <w:pPr>
              <w:rPr>
                <w:lang w:val="en-US"/>
              </w:rPr>
            </w:pPr>
            <w:r>
              <w:rPr>
                <w:lang w:val="en-US"/>
              </w:rPr>
              <w:t>Nokia Networks, Nokia Corporation</w:t>
            </w:r>
          </w:p>
        </w:tc>
        <w:tc>
          <w:tcPr>
            <w:tcW w:w="1701" w:type="dxa"/>
          </w:tcPr>
          <w:p w:rsidR="00F71A8D" w:rsidRPr="0072301B" w:rsidRDefault="00B957B2" w:rsidP="0046063C">
            <w:pPr>
              <w:rPr>
                <w:lang w:val="en-US"/>
              </w:rPr>
            </w:pPr>
            <w:r>
              <w:rPr>
                <w:lang w:val="en-US"/>
              </w:rPr>
              <w:t>Solution 2</w:t>
            </w:r>
          </w:p>
        </w:tc>
        <w:tc>
          <w:tcPr>
            <w:tcW w:w="6345" w:type="dxa"/>
          </w:tcPr>
          <w:p w:rsidR="00A632E1" w:rsidRDefault="00A632E1" w:rsidP="0046063C">
            <w:r w:rsidRPr="00D7012E">
              <w:rPr>
                <w:rStyle w:val="hvr"/>
                <w:rFonts w:cs="Arial"/>
                <w:color w:val="404040"/>
                <w:shd w:val="clear" w:color="auto" w:fill="FFFFFF"/>
              </w:rPr>
              <w:t>Since we built the whole CA signalling and related UE capabilities concept around the existing classes defined in 36.101, we think introduction an imaginary bandwidth class (i.e. Z)</w:t>
            </w:r>
            <w:r>
              <w:rPr>
                <w:rStyle w:val="hvr"/>
                <w:rFonts w:cs="Arial"/>
                <w:color w:val="404040"/>
                <w:shd w:val="clear" w:color="auto" w:fill="FFFFFF"/>
              </w:rPr>
              <w:t xml:space="preserve"> would introduce complexity and inconsistency. Th</w:t>
            </w:r>
            <w:r w:rsidR="00D7012E">
              <w:rPr>
                <w:rStyle w:val="hvr"/>
                <w:rFonts w:cs="Arial"/>
                <w:color w:val="404040"/>
                <w:shd w:val="clear" w:color="auto" w:fill="FFFFFF"/>
              </w:rPr>
              <w:t xml:space="preserve">e </w:t>
            </w:r>
            <w:r w:rsidRPr="00D7012E">
              <w:rPr>
                <w:rStyle w:val="hvr"/>
                <w:rFonts w:cs="Arial"/>
                <w:color w:val="404040"/>
                <w:shd w:val="clear" w:color="auto" w:fill="FFFFFF"/>
              </w:rPr>
              <w:t xml:space="preserve">Solution 1 in a way </w:t>
            </w:r>
            <w:r w:rsidR="00D7012E" w:rsidRPr="00D7012E">
              <w:rPr>
                <w:rStyle w:val="hvr"/>
                <w:rFonts w:cs="Arial"/>
                <w:color w:val="404040"/>
                <w:shd w:val="clear" w:color="auto" w:fill="FFFFFF"/>
              </w:rPr>
              <w:t>deviates</w:t>
            </w:r>
            <w:r w:rsidRPr="00D7012E">
              <w:rPr>
                <w:rStyle w:val="hvr"/>
                <w:rFonts w:cs="Arial"/>
                <w:color w:val="404040"/>
                <w:shd w:val="clear" w:color="auto" w:fill="FFFFFF"/>
              </w:rPr>
              <w:t xml:space="preserve"> from </w:t>
            </w:r>
            <w:r>
              <w:rPr>
                <w:rStyle w:val="hvr"/>
                <w:rFonts w:cs="Arial"/>
                <w:color w:val="404040"/>
                <w:shd w:val="clear" w:color="auto" w:fill="FFFFFF"/>
              </w:rPr>
              <w:t>the</w:t>
            </w:r>
            <w:r w:rsidRPr="00D7012E">
              <w:rPr>
                <w:rStyle w:val="hvr"/>
              </w:rPr>
              <w:t> </w:t>
            </w:r>
            <w:r>
              <w:rPr>
                <w:rStyle w:val="hvr"/>
                <w:rFonts w:cs="Arial"/>
                <w:color w:val="404040"/>
                <w:shd w:val="clear" w:color="auto" w:fill="FFFFFF"/>
              </w:rPr>
              <w:t>logic</w:t>
            </w:r>
            <w:r w:rsidRPr="00D7012E">
              <w:rPr>
                <w:rStyle w:val="apple-converted-space"/>
                <w:rFonts w:cs="Arial"/>
                <w:color w:val="404040"/>
                <w:shd w:val="clear" w:color="auto" w:fill="FFFFFF"/>
              </w:rPr>
              <w:t> </w:t>
            </w:r>
            <w:r>
              <w:rPr>
                <w:rStyle w:val="hvr"/>
                <w:rFonts w:cs="Arial"/>
                <w:color w:val="404040"/>
                <w:shd w:val="clear" w:color="auto" w:fill="FFFFFF"/>
              </w:rPr>
              <w:t>and</w:t>
            </w:r>
            <w:r w:rsidRPr="00D7012E">
              <w:rPr>
                <w:rStyle w:val="hvr"/>
              </w:rPr>
              <w:t> </w:t>
            </w:r>
            <w:r>
              <w:rPr>
                <w:rStyle w:val="hvr"/>
                <w:rFonts w:cs="Arial"/>
                <w:color w:val="404040"/>
                <w:shd w:val="clear" w:color="auto" w:fill="FFFFFF"/>
              </w:rPr>
              <w:t xml:space="preserve">arrangement of the real classes. </w:t>
            </w:r>
            <w:r w:rsidR="00D7012E">
              <w:rPr>
                <w:rStyle w:val="hvr"/>
                <w:rFonts w:cs="Arial"/>
                <w:color w:val="404040"/>
                <w:shd w:val="clear" w:color="auto" w:fill="FFFFFF"/>
              </w:rPr>
              <w:t>Also it</w:t>
            </w:r>
            <w:r>
              <w:rPr>
                <w:rStyle w:val="hvr"/>
                <w:rFonts w:cs="Arial"/>
                <w:color w:val="404040"/>
                <w:shd w:val="clear" w:color="auto" w:fill="FFFFFF"/>
              </w:rPr>
              <w:t xml:space="preserve"> does not bring any benefit in signalling overhead (due to backward compatibility)</w:t>
            </w:r>
            <w:r w:rsidR="00D7012E">
              <w:rPr>
                <w:rStyle w:val="hvr"/>
                <w:rFonts w:cs="Arial"/>
                <w:color w:val="404040"/>
                <w:shd w:val="clear" w:color="auto" w:fill="FFFFFF"/>
              </w:rPr>
              <w:t xml:space="preserve">. It offers flexibility for the UE, however full flexibility is not our targeted aim. </w:t>
            </w:r>
            <w:r w:rsidR="00D7012E">
              <w:rPr>
                <w:lang w:val="en-US"/>
              </w:rPr>
              <w:t xml:space="preserve">The main issue to resolve is </w:t>
            </w:r>
            <w:r w:rsidR="00D7012E" w:rsidRPr="00487CF3">
              <w:t xml:space="preserve">the </w:t>
            </w:r>
            <w:r w:rsidR="00D7012E">
              <w:t>limitation</w:t>
            </w:r>
            <w:r w:rsidR="00D7012E" w:rsidRPr="00487CF3">
              <w:t xml:space="preserve"> for cont</w:t>
            </w:r>
            <w:r w:rsidR="00D7012E" w:rsidRPr="00717E7E">
              <w:t xml:space="preserve">iguous CA </w:t>
            </w:r>
            <w:r w:rsidR="00D7012E">
              <w:t xml:space="preserve">capability </w:t>
            </w:r>
            <w:r w:rsidR="00D7012E" w:rsidRPr="00717E7E">
              <w:t>signalling when it comes to the number of MIMO layers and the maximum number of CSI processes.</w:t>
            </w:r>
          </w:p>
          <w:p w:rsidR="00F71A8D" w:rsidRPr="0072301B" w:rsidRDefault="00D7012E" w:rsidP="006F2D05">
            <w:pPr>
              <w:rPr>
                <w:lang w:val="en-US"/>
              </w:rPr>
            </w:pPr>
            <w:r>
              <w:t xml:space="preserve">We prefer to build an extension on well established classes and introduce new fields (according to Solution 2 or some </w:t>
            </w:r>
            <w:r w:rsidR="006F2D05">
              <w:t>resembling</w:t>
            </w:r>
            <w:r>
              <w:t xml:space="preserve"> version) applicable for the case of contiguous CA band combinations</w:t>
            </w:r>
            <w:r w:rsidRPr="004250E5">
              <w:t xml:space="preserve"> </w:t>
            </w:r>
            <w:r>
              <w:t xml:space="preserve">only. </w:t>
            </w:r>
          </w:p>
        </w:tc>
      </w:tr>
      <w:tr w:rsidR="009D0EF6" w:rsidRPr="0072301B" w:rsidTr="0046063C">
        <w:tc>
          <w:tcPr>
            <w:tcW w:w="1809" w:type="dxa"/>
          </w:tcPr>
          <w:p w:rsidR="009D0EF6" w:rsidRPr="0072301B" w:rsidRDefault="009D0EF6" w:rsidP="0046063C">
            <w:pPr>
              <w:rPr>
                <w:lang w:val="en-US"/>
              </w:rPr>
            </w:pPr>
            <w:r w:rsidRPr="00D82F1E">
              <w:rPr>
                <w:rFonts w:eastAsia="Malgun Gothic" w:hint="eastAsia"/>
                <w:lang w:val="en-US" w:eastAsia="ko-KR"/>
              </w:rPr>
              <w:t>Samsung</w:t>
            </w:r>
          </w:p>
        </w:tc>
        <w:tc>
          <w:tcPr>
            <w:tcW w:w="1701" w:type="dxa"/>
          </w:tcPr>
          <w:p w:rsidR="009D0EF6" w:rsidRPr="0072301B" w:rsidRDefault="009D0EF6" w:rsidP="0046063C">
            <w:pPr>
              <w:rPr>
                <w:lang w:val="en-US"/>
              </w:rPr>
            </w:pPr>
            <w:r w:rsidRPr="00D82F1E">
              <w:rPr>
                <w:rFonts w:eastAsia="Malgun Gothic" w:hint="eastAsia"/>
                <w:lang w:val="en-US" w:eastAsia="ko-KR"/>
              </w:rPr>
              <w:t>Solution 1</w:t>
            </w:r>
          </w:p>
        </w:tc>
        <w:tc>
          <w:tcPr>
            <w:tcW w:w="6345" w:type="dxa"/>
          </w:tcPr>
          <w:p w:rsidR="009D0EF6" w:rsidRPr="00D82F1E" w:rsidRDefault="009D0EF6" w:rsidP="004A2D60">
            <w:pPr>
              <w:rPr>
                <w:rFonts w:eastAsia="Malgun Gothic"/>
                <w:lang w:val="en-US" w:eastAsia="ko-KR"/>
              </w:rPr>
            </w:pPr>
            <w:r w:rsidRPr="00D82F1E">
              <w:rPr>
                <w:rFonts w:eastAsia="Malgun Gothic" w:hint="eastAsia"/>
                <w:lang w:val="en-US" w:eastAsia="ko-KR"/>
              </w:rPr>
              <w:t>We prefer solution 1</w:t>
            </w:r>
            <w:r>
              <w:rPr>
                <w:rFonts w:eastAsia="Malgun Gothic" w:hint="eastAsia"/>
                <w:lang w:val="en-US" w:eastAsia="ko-KR"/>
              </w:rPr>
              <w:t xml:space="preserve"> (or more precise extensions, instead of e.g. total number of MIMO layers/CSI processes)</w:t>
            </w:r>
            <w:r w:rsidRPr="00D82F1E">
              <w:rPr>
                <w:rFonts w:eastAsia="Malgun Gothic" w:hint="eastAsia"/>
                <w:lang w:val="en-US" w:eastAsia="ko-KR"/>
              </w:rPr>
              <w:t xml:space="preserve">, as it provides much </w:t>
            </w:r>
            <w:r w:rsidRPr="00D82F1E">
              <w:rPr>
                <w:rFonts w:eastAsia="Malgun Gothic" w:hint="eastAsia"/>
                <w:lang w:val="en-US" w:eastAsia="ko-KR"/>
              </w:rPr>
              <w:lastRenderedPageBreak/>
              <w:t xml:space="preserve">flexibility and exact information </w:t>
            </w:r>
            <w:r w:rsidRPr="00D82F1E">
              <w:rPr>
                <w:rFonts w:eastAsia="Malgun Gothic"/>
                <w:lang w:val="en-US" w:eastAsia="ko-KR"/>
              </w:rPr>
              <w:t>which</w:t>
            </w:r>
            <w:r w:rsidRPr="00D82F1E">
              <w:rPr>
                <w:rFonts w:eastAsia="Malgun Gothic" w:hint="eastAsia"/>
                <w:lang w:val="en-US" w:eastAsia="ko-KR"/>
              </w:rPr>
              <w:t xml:space="preserve"> UE can support.</w:t>
            </w:r>
          </w:p>
          <w:p w:rsidR="009D0EF6" w:rsidRPr="00D82F1E" w:rsidRDefault="009D0EF6" w:rsidP="004A2D60">
            <w:pPr>
              <w:rPr>
                <w:rFonts w:eastAsia="Malgun Gothic"/>
                <w:lang w:val="en-US" w:eastAsia="ko-KR"/>
              </w:rPr>
            </w:pPr>
            <w:r w:rsidRPr="00D82F1E">
              <w:rPr>
                <w:rFonts w:eastAsia="Malgun Gothic" w:hint="eastAsia"/>
                <w:lang w:val="en-US" w:eastAsia="ko-KR"/>
              </w:rPr>
              <w:t>Suppose the following scenarios:</w:t>
            </w:r>
          </w:p>
          <w:p w:rsidR="009D0EF6" w:rsidRPr="00705AD2" w:rsidRDefault="009D0EF6" w:rsidP="004A2D60">
            <w:pPr>
              <w:rPr>
                <w:rFonts w:eastAsia="Malgun Gothic"/>
                <w:lang w:val="en-US" w:eastAsia="ko-KR"/>
              </w:rPr>
            </w:pPr>
            <w:r w:rsidRPr="00705AD2">
              <w:rPr>
                <w:rFonts w:eastAsia="Malgun Gothic"/>
                <w:lang w:val="en-US" w:eastAsia="ko-KR"/>
              </w:rPr>
              <w:t>1. {DL=fourLayers,CSI-Proc=n1} + {DL=twoLayers,CSI-Proc=n4}</w:t>
            </w:r>
          </w:p>
          <w:p w:rsidR="009D0EF6" w:rsidRDefault="009D0EF6" w:rsidP="004A2D60">
            <w:pPr>
              <w:rPr>
                <w:rFonts w:eastAsia="Malgun Gothic"/>
                <w:lang w:val="en-US" w:eastAsia="ko-KR"/>
              </w:rPr>
            </w:pPr>
            <w:r w:rsidRPr="00705AD2">
              <w:rPr>
                <w:rFonts w:eastAsia="Malgun Gothic"/>
                <w:lang w:val="en-US" w:eastAsia="ko-KR"/>
              </w:rPr>
              <w:t>2. {DL=fourLayers,CSI-Proc=n4} + {DL=twoLayers,CSI-Proc=n1}</w:t>
            </w:r>
          </w:p>
          <w:p w:rsidR="009D0EF6" w:rsidRPr="0072301B" w:rsidRDefault="009D0EF6" w:rsidP="009D0EF6">
            <w:pPr>
              <w:rPr>
                <w:lang w:val="en-US"/>
              </w:rPr>
            </w:pPr>
            <w:r>
              <w:rPr>
                <w:rFonts w:eastAsia="Malgun Gothic" w:hint="eastAsia"/>
                <w:lang w:val="en-US" w:eastAsia="ko-KR"/>
              </w:rPr>
              <w:t xml:space="preserve">If UE only supports Scenario 1 above, but not Scenario 2, UE cannot report its capability correctly </w:t>
            </w:r>
            <w:r>
              <w:rPr>
                <w:rFonts w:eastAsia="Malgun Gothic"/>
                <w:lang w:val="en-US" w:eastAsia="ko-KR"/>
              </w:rPr>
              <w:t xml:space="preserve">to the network </w:t>
            </w:r>
            <w:r>
              <w:rPr>
                <w:rFonts w:eastAsia="Malgun Gothic" w:hint="eastAsia"/>
                <w:lang w:val="en-US" w:eastAsia="ko-KR"/>
              </w:rPr>
              <w:t>only with the total number of MIMO layers/CSI processes.</w:t>
            </w:r>
          </w:p>
        </w:tc>
      </w:tr>
      <w:tr w:rsidR="009D0EF6" w:rsidRPr="0072301B" w:rsidTr="0046063C">
        <w:tc>
          <w:tcPr>
            <w:tcW w:w="1809" w:type="dxa"/>
          </w:tcPr>
          <w:p w:rsidR="009D0EF6" w:rsidRPr="0072301B" w:rsidRDefault="00AB60DA" w:rsidP="0046063C">
            <w:pPr>
              <w:rPr>
                <w:lang w:val="en-US"/>
              </w:rPr>
            </w:pPr>
            <w:r>
              <w:rPr>
                <w:lang w:val="en-US"/>
              </w:rPr>
              <w:lastRenderedPageBreak/>
              <w:t>Qualcomm</w:t>
            </w:r>
          </w:p>
        </w:tc>
        <w:tc>
          <w:tcPr>
            <w:tcW w:w="1701" w:type="dxa"/>
          </w:tcPr>
          <w:p w:rsidR="009D0EF6" w:rsidRPr="0072301B" w:rsidRDefault="009D0EF6" w:rsidP="0046063C">
            <w:pPr>
              <w:rPr>
                <w:lang w:val="en-US"/>
              </w:rPr>
            </w:pPr>
          </w:p>
        </w:tc>
        <w:tc>
          <w:tcPr>
            <w:tcW w:w="6345" w:type="dxa"/>
          </w:tcPr>
          <w:p w:rsidR="009D0EF6" w:rsidRDefault="00AB60DA" w:rsidP="00AB60DA">
            <w:pPr>
              <w:rPr>
                <w:lang w:val="en-US"/>
              </w:rPr>
            </w:pPr>
            <w:r>
              <w:rPr>
                <w:lang w:val="en-US"/>
              </w:rPr>
              <w:t xml:space="preserve">We think that the benefits and caveats of each solution is made clear by other companies. Solution 1 has the most flexibility and makes the intra-band contiguous signaling on par with non-contiguous and inter-band scenarios. On the other hand, solution 1 would increase the size of UE capability signaling substantially (as we would also still need to repeat the old style of signaling for backwards compatibility reasons). </w:t>
            </w:r>
          </w:p>
          <w:p w:rsidR="00AB60DA" w:rsidRDefault="00AB60DA" w:rsidP="00AB60DA">
            <w:pPr>
              <w:rPr>
                <w:lang w:val="en-US"/>
              </w:rPr>
            </w:pPr>
            <w:r>
              <w:rPr>
                <w:lang w:val="en-US"/>
              </w:rPr>
              <w:t>Solution 2 lacks flexibility, in that for example the 4CC capability of {</w:t>
            </w:r>
            <w:r w:rsidRPr="00AB60DA">
              <w:rPr>
                <w:lang w:val="en-US"/>
              </w:rPr>
              <w:t>8x8+8x8+2x2+2x2</w:t>
            </w:r>
            <w:r>
              <w:rPr>
                <w:lang w:val="en-US"/>
              </w:rPr>
              <w:t>}</w:t>
            </w:r>
            <w:r w:rsidRPr="00AB60DA">
              <w:rPr>
                <w:lang w:val="en-US"/>
              </w:rPr>
              <w:t xml:space="preserve"> </w:t>
            </w:r>
            <w:r>
              <w:rPr>
                <w:lang w:val="en-US"/>
              </w:rPr>
              <w:t>cannot be distinguished from {</w:t>
            </w:r>
            <w:r w:rsidRPr="00AB60DA">
              <w:rPr>
                <w:lang w:val="en-US"/>
              </w:rPr>
              <w:t>8x8+4x4+4x4+4x4</w:t>
            </w:r>
            <w:r>
              <w:rPr>
                <w:lang w:val="en-US"/>
              </w:rPr>
              <w:t>}.</w:t>
            </w:r>
          </w:p>
          <w:p w:rsidR="00AB60DA" w:rsidRDefault="00AB60DA" w:rsidP="00AB60DA">
            <w:pPr>
              <w:rPr>
                <w:lang w:val="en-US"/>
              </w:rPr>
            </w:pPr>
          </w:p>
          <w:p w:rsidR="00445C64" w:rsidRDefault="00AB60DA" w:rsidP="00AB60DA">
            <w:pPr>
              <w:rPr>
                <w:lang w:val="en-US"/>
              </w:rPr>
            </w:pPr>
            <w:r>
              <w:rPr>
                <w:lang w:val="en-US"/>
              </w:rPr>
              <w:t xml:space="preserve">We may consider a modified version of solution 2 where instead of </w:t>
            </w:r>
            <w:r w:rsidR="00FB1749">
              <w:rPr>
                <w:lang w:val="en-US"/>
              </w:rPr>
              <w:t xml:space="preserve">the 2 elements for </w:t>
            </w:r>
            <w:r>
              <w:rPr>
                <w:lang w:val="en-US"/>
              </w:rPr>
              <w:t xml:space="preserve">max/aggregate, UE signals up to 5 </w:t>
            </w:r>
            <w:r w:rsidR="00FB1749">
              <w:rPr>
                <w:lang w:val="en-US"/>
              </w:rPr>
              <w:t>elements</w:t>
            </w:r>
            <w:r>
              <w:rPr>
                <w:lang w:val="en-US"/>
              </w:rPr>
              <w:t xml:space="preserve"> </w:t>
            </w:r>
            <w:r w:rsidR="00445C64">
              <w:rPr>
                <w:lang w:val="en-US"/>
              </w:rPr>
              <w:t xml:space="preserve">(one per CC in the band combination) </w:t>
            </w:r>
            <w:r>
              <w:rPr>
                <w:lang w:val="en-US"/>
              </w:rPr>
              <w:t xml:space="preserve">for MIMO layers and number of CSI processes. This number of elements would be a function of CA BW class, e.g. class C would have two element each, class D, three and so on. </w:t>
            </w:r>
          </w:p>
          <w:p w:rsidR="00445C64" w:rsidRDefault="00445C64" w:rsidP="00AB60DA">
            <w:pPr>
              <w:rPr>
                <w:lang w:val="en-US"/>
              </w:rPr>
            </w:pPr>
            <w:r>
              <w:rPr>
                <w:lang w:val="en-US"/>
              </w:rPr>
              <w:t xml:space="preserve">For example, considering the MIMO layers only, solution 2 would look like the below (hypothetical example): </w:t>
            </w:r>
          </w:p>
          <w:p w:rsidR="00445C64" w:rsidRDefault="00445C64" w:rsidP="00445C64">
            <w:pPr>
              <w:pStyle w:val="ListParagraph"/>
              <w:numPr>
                <w:ilvl w:val="0"/>
                <w:numId w:val="17"/>
              </w:numPr>
              <w:rPr>
                <w:rFonts w:ascii="Calibri" w:hAnsi="Calibri"/>
                <w:color w:val="1F497D"/>
                <w:sz w:val="22"/>
                <w:szCs w:val="22"/>
                <w:lang w:eastAsia="ja-JP"/>
              </w:rPr>
            </w:pPr>
            <w:r>
              <w:rPr>
                <w:rFonts w:ascii="Calibri" w:hAnsi="Calibri"/>
                <w:color w:val="1F497D"/>
                <w:sz w:val="22"/>
                <w:szCs w:val="22"/>
                <w:lang w:eastAsia="ja-JP"/>
              </w:rPr>
              <w:t xml:space="preserve">{CA_41C_2Layer} </w:t>
            </w:r>
            <w:r>
              <w:rPr>
                <w:rFonts w:ascii="Calibri" w:hAnsi="Calibri"/>
                <w:color w:val="1F497D"/>
                <w:sz w:val="22"/>
                <w:szCs w:val="22"/>
                <w:vertAlign w:val="subscript"/>
                <w:lang w:eastAsia="ja-JP"/>
              </w:rPr>
              <w:t>(this part is legacy)</w:t>
            </w:r>
            <w:r>
              <w:rPr>
                <w:rFonts w:ascii="Calibri" w:hAnsi="Calibri"/>
                <w:color w:val="1F497D"/>
                <w:sz w:val="22"/>
                <w:szCs w:val="22"/>
                <w:lang w:eastAsia="ja-JP"/>
              </w:rPr>
              <w:t xml:space="preserve">, {max=4Layer, total=6Layer} </w:t>
            </w:r>
            <w:r>
              <w:rPr>
                <w:rFonts w:ascii="Calibri" w:hAnsi="Calibri"/>
                <w:color w:val="1F497D"/>
                <w:sz w:val="22"/>
                <w:szCs w:val="22"/>
                <w:vertAlign w:val="subscript"/>
                <w:lang w:eastAsia="ja-JP"/>
              </w:rPr>
              <w:t>(this part is new per contiguous combo)</w:t>
            </w:r>
            <w:r>
              <w:rPr>
                <w:rFonts w:ascii="Calibri" w:hAnsi="Calibri"/>
                <w:color w:val="1F497D"/>
                <w:sz w:val="22"/>
                <w:szCs w:val="22"/>
                <w:lang w:eastAsia="ja-JP"/>
              </w:rPr>
              <w:t xml:space="preserve"> </w:t>
            </w:r>
          </w:p>
          <w:p w:rsidR="00445C64" w:rsidRDefault="00445C64" w:rsidP="00445C64">
            <w:pPr>
              <w:pStyle w:val="ListParagraph"/>
              <w:numPr>
                <w:ilvl w:val="0"/>
                <w:numId w:val="17"/>
              </w:numPr>
              <w:rPr>
                <w:rFonts w:ascii="Calibri" w:hAnsi="Calibri"/>
                <w:color w:val="1F497D"/>
                <w:sz w:val="22"/>
                <w:szCs w:val="22"/>
                <w:lang w:eastAsia="ja-JP"/>
              </w:rPr>
            </w:pPr>
            <w:r>
              <w:rPr>
                <w:rFonts w:ascii="Calibri" w:hAnsi="Calibri"/>
                <w:color w:val="1F497D"/>
                <w:sz w:val="22"/>
                <w:szCs w:val="22"/>
                <w:lang w:eastAsia="ja-JP"/>
              </w:rPr>
              <w:t>{CA_41D_2Layer}  </w:t>
            </w:r>
            <w:r>
              <w:rPr>
                <w:rFonts w:ascii="Calibri" w:hAnsi="Calibri"/>
                <w:color w:val="1F497D"/>
                <w:sz w:val="22"/>
                <w:szCs w:val="22"/>
                <w:vertAlign w:val="subscript"/>
                <w:lang w:eastAsia="ja-JP"/>
              </w:rPr>
              <w:t>(this part is legacy)</w:t>
            </w:r>
            <w:r>
              <w:rPr>
                <w:rFonts w:ascii="Calibri" w:hAnsi="Calibri"/>
                <w:color w:val="1F497D"/>
                <w:sz w:val="22"/>
                <w:szCs w:val="22"/>
                <w:lang w:eastAsia="ja-JP"/>
              </w:rPr>
              <w:t xml:space="preserve">, {max=4Layer, total=10Layer} </w:t>
            </w:r>
            <w:r>
              <w:rPr>
                <w:rFonts w:ascii="Calibri" w:hAnsi="Calibri"/>
                <w:color w:val="1F497D"/>
                <w:sz w:val="22"/>
                <w:szCs w:val="22"/>
                <w:vertAlign w:val="subscript"/>
                <w:lang w:eastAsia="ja-JP"/>
              </w:rPr>
              <w:t>(this part is new per contiguous combo)</w:t>
            </w:r>
            <w:r>
              <w:rPr>
                <w:rFonts w:ascii="Calibri" w:hAnsi="Calibri"/>
                <w:color w:val="1F497D"/>
                <w:sz w:val="22"/>
                <w:szCs w:val="22"/>
                <w:lang w:eastAsia="ja-JP"/>
              </w:rPr>
              <w:t xml:space="preserve"> </w:t>
            </w:r>
          </w:p>
          <w:p w:rsidR="00445C64" w:rsidRDefault="00445C64" w:rsidP="00445C64">
            <w:pPr>
              <w:pStyle w:val="ListParagraph"/>
              <w:numPr>
                <w:ilvl w:val="0"/>
                <w:numId w:val="17"/>
              </w:numPr>
              <w:rPr>
                <w:rFonts w:ascii="Calibri" w:hAnsi="Calibri"/>
                <w:color w:val="1F497D"/>
                <w:sz w:val="22"/>
                <w:szCs w:val="22"/>
                <w:lang w:eastAsia="ja-JP"/>
              </w:rPr>
            </w:pPr>
            <w:r>
              <w:rPr>
                <w:rFonts w:ascii="Calibri" w:hAnsi="Calibri"/>
                <w:color w:val="1F497D"/>
                <w:sz w:val="22"/>
                <w:szCs w:val="22"/>
                <w:lang w:eastAsia="ja-JP"/>
              </w:rPr>
              <w:t>{CA_41E_2Layer}  </w:t>
            </w:r>
            <w:r>
              <w:rPr>
                <w:rFonts w:ascii="Calibri" w:hAnsi="Calibri"/>
                <w:color w:val="1F497D"/>
                <w:sz w:val="22"/>
                <w:szCs w:val="22"/>
                <w:vertAlign w:val="subscript"/>
                <w:lang w:eastAsia="ja-JP"/>
              </w:rPr>
              <w:t>(this part is legacy)</w:t>
            </w:r>
            <w:r>
              <w:rPr>
                <w:rFonts w:ascii="Calibri" w:hAnsi="Calibri"/>
                <w:color w:val="1F497D"/>
                <w:sz w:val="22"/>
                <w:szCs w:val="22"/>
                <w:lang w:eastAsia="ja-JP"/>
              </w:rPr>
              <w:t xml:space="preserve">, {max=4Layer, total=10Layer} </w:t>
            </w:r>
            <w:r>
              <w:rPr>
                <w:rFonts w:ascii="Calibri" w:hAnsi="Calibri"/>
                <w:color w:val="1F497D"/>
                <w:sz w:val="22"/>
                <w:szCs w:val="22"/>
                <w:vertAlign w:val="subscript"/>
                <w:lang w:eastAsia="ja-JP"/>
              </w:rPr>
              <w:t>(this part is new per contiguous combo)</w:t>
            </w:r>
            <w:r>
              <w:rPr>
                <w:rFonts w:ascii="Calibri" w:hAnsi="Calibri"/>
                <w:color w:val="1F497D"/>
                <w:sz w:val="22"/>
                <w:szCs w:val="22"/>
                <w:lang w:eastAsia="ja-JP"/>
              </w:rPr>
              <w:t xml:space="preserve"> </w:t>
            </w:r>
          </w:p>
          <w:p w:rsidR="00445C64" w:rsidRDefault="00445C64" w:rsidP="00AB60DA">
            <w:pPr>
              <w:rPr>
                <w:lang w:val="en-US"/>
              </w:rPr>
            </w:pPr>
            <w:r>
              <w:rPr>
                <w:lang w:val="en-US"/>
              </w:rPr>
              <w:t xml:space="preserve">And, we could consider the following instead: </w:t>
            </w:r>
          </w:p>
          <w:p w:rsidR="00445C64" w:rsidRDefault="00445C64" w:rsidP="00445C64">
            <w:pPr>
              <w:pStyle w:val="ListParagraph"/>
              <w:numPr>
                <w:ilvl w:val="0"/>
                <w:numId w:val="18"/>
              </w:numPr>
              <w:rPr>
                <w:rFonts w:ascii="Calibri" w:hAnsi="Calibri"/>
                <w:color w:val="1F497D"/>
                <w:sz w:val="22"/>
                <w:szCs w:val="22"/>
                <w:lang w:eastAsia="ja-JP"/>
              </w:rPr>
            </w:pPr>
            <w:r>
              <w:rPr>
                <w:rFonts w:ascii="Calibri" w:hAnsi="Calibri"/>
                <w:color w:val="1F497D"/>
                <w:sz w:val="22"/>
                <w:szCs w:val="22"/>
                <w:lang w:eastAsia="ja-JP"/>
              </w:rPr>
              <w:t xml:space="preserve">{CA_41C_2Layer} </w:t>
            </w:r>
            <w:r>
              <w:rPr>
                <w:rFonts w:ascii="Calibri" w:hAnsi="Calibri"/>
                <w:color w:val="1F497D"/>
                <w:sz w:val="22"/>
                <w:szCs w:val="22"/>
                <w:vertAlign w:val="subscript"/>
                <w:lang w:eastAsia="ja-JP"/>
              </w:rPr>
              <w:t>(this part is legacy)</w:t>
            </w:r>
            <w:r>
              <w:rPr>
                <w:rFonts w:ascii="Calibri" w:hAnsi="Calibri"/>
                <w:color w:val="1F497D"/>
                <w:sz w:val="22"/>
                <w:szCs w:val="22"/>
                <w:lang w:eastAsia="ja-JP"/>
              </w:rPr>
              <w:t xml:space="preserve">, {4Layer, 2Layer} </w:t>
            </w:r>
            <w:r>
              <w:rPr>
                <w:rFonts w:ascii="Calibri" w:hAnsi="Calibri"/>
                <w:color w:val="1F497D"/>
                <w:sz w:val="22"/>
                <w:szCs w:val="22"/>
                <w:vertAlign w:val="subscript"/>
                <w:lang w:eastAsia="ja-JP"/>
              </w:rPr>
              <w:t xml:space="preserve">(this part is new per contiguous combo). </w:t>
            </w:r>
            <w:r>
              <w:rPr>
                <w:rFonts w:ascii="Calibri" w:hAnsi="Calibri"/>
                <w:color w:val="1F497D"/>
                <w:sz w:val="22"/>
                <w:szCs w:val="22"/>
                <w:lang w:eastAsia="ja-JP"/>
              </w:rPr>
              <w:t xml:space="preserve">The new part defines the MIMO layer matrix for each carrier rather than min max </w:t>
            </w:r>
          </w:p>
          <w:p w:rsidR="00445C64" w:rsidRDefault="00445C64" w:rsidP="00445C64">
            <w:pPr>
              <w:pStyle w:val="ListParagraph"/>
              <w:numPr>
                <w:ilvl w:val="0"/>
                <w:numId w:val="18"/>
              </w:numPr>
              <w:rPr>
                <w:rFonts w:ascii="Calibri" w:hAnsi="Calibri"/>
                <w:color w:val="1F497D"/>
                <w:sz w:val="22"/>
                <w:szCs w:val="22"/>
                <w:lang w:eastAsia="ja-JP"/>
              </w:rPr>
            </w:pPr>
            <w:r>
              <w:rPr>
                <w:rFonts w:ascii="Calibri" w:hAnsi="Calibri"/>
                <w:color w:val="1F497D"/>
                <w:sz w:val="22"/>
                <w:szCs w:val="22"/>
                <w:lang w:eastAsia="ja-JP"/>
              </w:rPr>
              <w:t>{CA_41D_2Layer}  </w:t>
            </w:r>
            <w:r>
              <w:rPr>
                <w:rFonts w:ascii="Calibri" w:hAnsi="Calibri"/>
                <w:color w:val="1F497D"/>
                <w:sz w:val="22"/>
                <w:szCs w:val="22"/>
                <w:vertAlign w:val="subscript"/>
                <w:lang w:eastAsia="ja-JP"/>
              </w:rPr>
              <w:t>(this part is legacy)</w:t>
            </w:r>
            <w:r>
              <w:rPr>
                <w:rFonts w:ascii="Calibri" w:hAnsi="Calibri"/>
                <w:color w:val="1F497D"/>
                <w:sz w:val="22"/>
                <w:szCs w:val="22"/>
                <w:lang w:eastAsia="ja-JP"/>
              </w:rPr>
              <w:t xml:space="preserve">, {4Layer, 4Layer, 2Layer} </w:t>
            </w:r>
            <w:r>
              <w:rPr>
                <w:rFonts w:ascii="Calibri" w:hAnsi="Calibri"/>
                <w:color w:val="1F497D"/>
                <w:sz w:val="22"/>
                <w:szCs w:val="22"/>
                <w:vertAlign w:val="subscript"/>
                <w:lang w:eastAsia="ja-JP"/>
              </w:rPr>
              <w:t>(this part is new per contiguous combo)</w:t>
            </w:r>
            <w:r>
              <w:rPr>
                <w:rFonts w:ascii="Calibri" w:hAnsi="Calibri"/>
                <w:color w:val="1F497D"/>
                <w:sz w:val="22"/>
                <w:szCs w:val="22"/>
                <w:lang w:eastAsia="ja-JP"/>
              </w:rPr>
              <w:t xml:space="preserve"> </w:t>
            </w:r>
          </w:p>
          <w:p w:rsidR="00AB60DA" w:rsidRPr="00445C64" w:rsidRDefault="00445C64" w:rsidP="00445C64">
            <w:pPr>
              <w:pStyle w:val="ListParagraph"/>
              <w:numPr>
                <w:ilvl w:val="0"/>
                <w:numId w:val="18"/>
              </w:numPr>
              <w:rPr>
                <w:rFonts w:ascii="Calibri" w:hAnsi="Calibri"/>
                <w:color w:val="1F497D"/>
                <w:sz w:val="22"/>
                <w:szCs w:val="22"/>
                <w:lang w:eastAsia="ja-JP"/>
              </w:rPr>
            </w:pPr>
            <w:r>
              <w:rPr>
                <w:rFonts w:ascii="Calibri" w:hAnsi="Calibri"/>
                <w:color w:val="1F497D"/>
                <w:sz w:val="22"/>
                <w:szCs w:val="22"/>
                <w:lang w:eastAsia="ja-JP"/>
              </w:rPr>
              <w:t>{CA_41E_2Layer}  </w:t>
            </w:r>
            <w:r>
              <w:rPr>
                <w:rFonts w:ascii="Calibri" w:hAnsi="Calibri"/>
                <w:color w:val="1F497D"/>
                <w:sz w:val="22"/>
                <w:szCs w:val="22"/>
                <w:vertAlign w:val="subscript"/>
                <w:lang w:eastAsia="ja-JP"/>
              </w:rPr>
              <w:t>(this part is legacy)</w:t>
            </w:r>
            <w:r>
              <w:rPr>
                <w:rFonts w:ascii="Calibri" w:hAnsi="Calibri"/>
                <w:color w:val="1F497D"/>
                <w:sz w:val="22"/>
                <w:szCs w:val="22"/>
                <w:lang w:eastAsia="ja-JP"/>
              </w:rPr>
              <w:t xml:space="preserve">, {4Layer, 2Layer, 2Layer, 2Layer} </w:t>
            </w:r>
            <w:r>
              <w:rPr>
                <w:rFonts w:ascii="Calibri" w:hAnsi="Calibri"/>
                <w:color w:val="1F497D"/>
                <w:sz w:val="22"/>
                <w:szCs w:val="22"/>
                <w:vertAlign w:val="subscript"/>
                <w:lang w:eastAsia="ja-JP"/>
              </w:rPr>
              <w:t>(this part is new per contiguous combo)</w:t>
            </w:r>
            <w:r w:rsidR="00AB60DA" w:rsidRPr="00445C64">
              <w:br/>
            </w:r>
          </w:p>
          <w:p w:rsidR="00AB60DA" w:rsidRPr="0072301B" w:rsidRDefault="00543A69" w:rsidP="00543A69">
            <w:pPr>
              <w:rPr>
                <w:lang w:val="en-US"/>
              </w:rPr>
            </w:pPr>
            <w:r>
              <w:rPr>
                <w:lang w:val="en-US"/>
              </w:rPr>
              <w:t xml:space="preserve">Noting the above tradeoffs, we would comply with what the majority of RAN2 companies consider acceptable. We also suggest that RAN2 considers the possible extension of Solution 2. </w:t>
            </w:r>
          </w:p>
        </w:tc>
      </w:tr>
      <w:tr w:rsidR="009D0EF6" w:rsidRPr="0072301B" w:rsidTr="0046063C">
        <w:tc>
          <w:tcPr>
            <w:tcW w:w="1809" w:type="dxa"/>
          </w:tcPr>
          <w:p w:rsidR="009D0EF6" w:rsidRPr="0072301B" w:rsidRDefault="0046730F" w:rsidP="0046063C">
            <w:pPr>
              <w:rPr>
                <w:lang w:val="en-US"/>
              </w:rPr>
            </w:pPr>
            <w:r>
              <w:rPr>
                <w:lang w:val="en-US"/>
              </w:rPr>
              <w:t>Ericsson</w:t>
            </w:r>
          </w:p>
        </w:tc>
        <w:tc>
          <w:tcPr>
            <w:tcW w:w="1701" w:type="dxa"/>
          </w:tcPr>
          <w:p w:rsidR="009D0EF6" w:rsidRPr="0072301B" w:rsidRDefault="0046730F" w:rsidP="0046063C">
            <w:pPr>
              <w:rPr>
                <w:lang w:val="en-US"/>
              </w:rPr>
            </w:pPr>
            <w:r>
              <w:rPr>
                <w:lang w:val="en-US"/>
              </w:rPr>
              <w:t>Sol</w:t>
            </w:r>
            <w:bookmarkStart w:id="0" w:name="_GoBack"/>
            <w:bookmarkEnd w:id="0"/>
            <w:r>
              <w:rPr>
                <w:lang w:val="en-US"/>
              </w:rPr>
              <w:t>ution 2</w:t>
            </w:r>
          </w:p>
        </w:tc>
        <w:tc>
          <w:tcPr>
            <w:tcW w:w="6345" w:type="dxa"/>
          </w:tcPr>
          <w:p w:rsidR="0046730F" w:rsidRDefault="0046730F" w:rsidP="0046063C">
            <w:pPr>
              <w:rPr>
                <w:lang w:val="en-US"/>
              </w:rPr>
            </w:pPr>
            <w:r>
              <w:rPr>
                <w:lang w:val="en-US"/>
              </w:rPr>
              <w:t xml:space="preserve">We also prefer a solution that builds on existing principles. </w:t>
            </w:r>
          </w:p>
          <w:p w:rsidR="0046730F" w:rsidRDefault="0046730F" w:rsidP="0046063C">
            <w:pPr>
              <w:rPr>
                <w:lang w:val="en-US" w:eastAsia="ja-JP"/>
              </w:rPr>
            </w:pPr>
            <w:r>
              <w:rPr>
                <w:lang w:val="en-US"/>
              </w:rPr>
              <w:t>Our thinking for Solution 2</w:t>
            </w:r>
            <w:r w:rsidR="00E25DA1">
              <w:rPr>
                <w:lang w:val="en-US"/>
              </w:rPr>
              <w:t xml:space="preserve"> is that </w:t>
            </w:r>
            <w:r>
              <w:rPr>
                <w:lang w:val="en-US"/>
              </w:rPr>
              <w:t xml:space="preserve">the existing fields for </w:t>
            </w:r>
            <w:r w:rsidRPr="0072301B">
              <w:rPr>
                <w:rFonts w:hint="eastAsia"/>
                <w:lang w:val="en-US" w:eastAsia="ja-JP"/>
              </w:rPr>
              <w:t>number of MIMO layers/CSI processes</w:t>
            </w:r>
            <w:r>
              <w:rPr>
                <w:lang w:val="en-US" w:eastAsia="ja-JP"/>
              </w:rPr>
              <w:t xml:space="preserve"> cannot be reused for a new purpose for backwards compatibility reasons. </w:t>
            </w:r>
          </w:p>
          <w:p w:rsidR="009D0EF6" w:rsidRPr="0072301B" w:rsidRDefault="0046730F" w:rsidP="002E5CAA">
            <w:pPr>
              <w:rPr>
                <w:lang w:val="en-US"/>
              </w:rPr>
            </w:pPr>
            <w:r>
              <w:rPr>
                <w:lang w:val="en-US"/>
              </w:rPr>
              <w:t xml:space="preserve">In Solution 2, we have assumed that for intra-band contiguous CA, the </w:t>
            </w:r>
            <w:r w:rsidR="00E25DA1" w:rsidRPr="0072301B">
              <w:rPr>
                <w:rFonts w:hint="eastAsia"/>
                <w:lang w:val="en-US" w:eastAsia="ja-JP"/>
              </w:rPr>
              <w:t>MIMO layers/CSI processes</w:t>
            </w:r>
            <w:r w:rsidR="00E25DA1">
              <w:rPr>
                <w:lang w:val="en-US" w:eastAsia="ja-JP"/>
              </w:rPr>
              <w:t xml:space="preserve"> can be allocated to any of the component carriers, as a kind of “common pool”. Above, companies argue this limit UE flexibility. Could </w:t>
            </w:r>
            <w:r w:rsidR="002E5CAA">
              <w:rPr>
                <w:lang w:val="en-US" w:eastAsia="ja-JP"/>
              </w:rPr>
              <w:t>companies</w:t>
            </w:r>
            <w:r w:rsidR="00E25DA1">
              <w:rPr>
                <w:lang w:val="en-US" w:eastAsia="ja-JP"/>
              </w:rPr>
              <w:t xml:space="preserve"> please e</w:t>
            </w:r>
            <w:r w:rsidR="002E5CAA">
              <w:rPr>
                <w:lang w:val="en-US" w:eastAsia="ja-JP"/>
              </w:rPr>
              <w:t xml:space="preserve">laborate </w:t>
            </w:r>
            <w:r w:rsidR="002E5CAA">
              <w:rPr>
                <w:lang w:val="en-US" w:eastAsia="ja-JP"/>
              </w:rPr>
              <w:lastRenderedPageBreak/>
              <w:t>some furt</w:t>
            </w:r>
            <w:r w:rsidR="00357445">
              <w:rPr>
                <w:lang w:val="en-US" w:eastAsia="ja-JP"/>
              </w:rPr>
              <w:t>her on why this is essential.</w:t>
            </w:r>
          </w:p>
        </w:tc>
      </w:tr>
      <w:tr w:rsidR="001F2940" w:rsidRPr="0072301B" w:rsidTr="0046063C">
        <w:tc>
          <w:tcPr>
            <w:tcW w:w="1809" w:type="dxa"/>
          </w:tcPr>
          <w:p w:rsidR="001F2940" w:rsidRPr="0072301B" w:rsidRDefault="001F2940" w:rsidP="0046063C">
            <w:pPr>
              <w:rPr>
                <w:lang w:val="en-US"/>
              </w:rPr>
            </w:pPr>
            <w:r>
              <w:rPr>
                <w:rFonts w:eastAsiaTheme="minorEastAsia" w:hint="eastAsia"/>
                <w:lang w:val="en-US" w:eastAsia="ko-KR"/>
              </w:rPr>
              <w:lastRenderedPageBreak/>
              <w:t>Intel</w:t>
            </w:r>
          </w:p>
        </w:tc>
        <w:tc>
          <w:tcPr>
            <w:tcW w:w="1701" w:type="dxa"/>
          </w:tcPr>
          <w:p w:rsidR="001F2940" w:rsidRPr="0072301B" w:rsidRDefault="001F2940" w:rsidP="0046063C">
            <w:pPr>
              <w:rPr>
                <w:lang w:val="en-US"/>
              </w:rPr>
            </w:pPr>
            <w:r>
              <w:rPr>
                <w:rFonts w:eastAsiaTheme="minorEastAsia"/>
                <w:lang w:val="en-US" w:eastAsia="ko-KR"/>
              </w:rPr>
              <w:t>Solution 2 with modification</w:t>
            </w:r>
            <w:r w:rsidR="008B2B18">
              <w:rPr>
                <w:rFonts w:eastAsiaTheme="minorEastAsia" w:hint="eastAsia"/>
                <w:lang w:val="en-US" w:eastAsia="ko-KR"/>
              </w:rPr>
              <w:t xml:space="preserve"> or solution 1</w:t>
            </w:r>
          </w:p>
        </w:tc>
        <w:tc>
          <w:tcPr>
            <w:tcW w:w="6345" w:type="dxa"/>
          </w:tcPr>
          <w:p w:rsidR="001F2940" w:rsidRDefault="001F2940" w:rsidP="00537794">
            <w:pPr>
              <w:rPr>
                <w:rFonts w:eastAsiaTheme="minorEastAsia"/>
                <w:lang w:val="en-US" w:eastAsia="ko-KR"/>
              </w:rPr>
            </w:pPr>
            <w:r>
              <w:rPr>
                <w:rFonts w:eastAsiaTheme="minorEastAsia" w:hint="eastAsia"/>
                <w:lang w:val="en-US" w:eastAsia="ko-KR"/>
              </w:rPr>
              <w:t>We agree with Samsung/Qualcomm that the proposed solution 2 is not sufficient to define flexible capability for MIMO and CSI process in intra-band contiguous CA. We think Samsung</w:t>
            </w:r>
            <w:r>
              <w:rPr>
                <w:rFonts w:eastAsiaTheme="minorEastAsia"/>
                <w:lang w:val="en-US" w:eastAsia="ko-KR"/>
              </w:rPr>
              <w:t>’</w:t>
            </w:r>
            <w:r>
              <w:rPr>
                <w:rFonts w:eastAsiaTheme="minorEastAsia" w:hint="eastAsia"/>
                <w:lang w:val="en-US" w:eastAsia="ko-KR"/>
              </w:rPr>
              <w:t xml:space="preserve">s example is a practical scenario that the UE may or may not support depending on </w:t>
            </w:r>
            <w:r>
              <w:rPr>
                <w:rFonts w:eastAsiaTheme="minorEastAsia"/>
                <w:lang w:val="en-US" w:eastAsia="ko-KR"/>
              </w:rPr>
              <w:t>processing</w:t>
            </w:r>
            <w:r>
              <w:rPr>
                <w:rFonts w:eastAsiaTheme="minorEastAsia" w:hint="eastAsia"/>
                <w:lang w:val="en-US" w:eastAsia="ko-KR"/>
              </w:rPr>
              <w:t xml:space="preserve"> capability. </w:t>
            </w:r>
          </w:p>
          <w:p w:rsidR="001F2940" w:rsidRDefault="001F2940" w:rsidP="00537794">
            <w:pPr>
              <w:rPr>
                <w:rFonts w:eastAsiaTheme="minorEastAsia"/>
                <w:lang w:val="en-US" w:eastAsia="ko-KR"/>
              </w:rPr>
            </w:pPr>
            <w:r>
              <w:rPr>
                <w:rFonts w:eastAsiaTheme="minorEastAsia" w:hint="eastAsia"/>
                <w:lang w:val="en-US" w:eastAsia="ko-KR"/>
              </w:rPr>
              <w:t xml:space="preserve">As Qualcomm proposed, it is desirable to indicate the maximum supported MIMO layers and CSI process for each carrier i.e. 2 entries for 2 CCs, 3 entries for 3CCs and so on. Each entry includes the maximum MIMO layer and CSI process that the UE supports.  </w:t>
            </w:r>
          </w:p>
          <w:p w:rsidR="001F2940" w:rsidRPr="0072301B" w:rsidRDefault="001F2940" w:rsidP="0046063C">
            <w:pPr>
              <w:rPr>
                <w:lang w:val="en-US"/>
              </w:rPr>
            </w:pPr>
            <w:r>
              <w:rPr>
                <w:rFonts w:eastAsiaTheme="minorEastAsia" w:hint="eastAsia"/>
                <w:lang w:val="en-US" w:eastAsia="ko-KR"/>
              </w:rPr>
              <w:t>Furthermore, if the maximum supported MIMO layer/CSI process is indicated for each CC, the total number of MIMO layer/CSI process is not required.</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701"/>
        <w:gridCol w:w="6345"/>
      </w:tblGrid>
      <w:tr w:rsidR="001F2940" w:rsidRPr="0072301B" w:rsidTr="0046063C">
        <w:tc>
          <w:tcPr>
            <w:tcW w:w="1809" w:type="dxa"/>
          </w:tcPr>
          <w:p w:rsidR="001F2940" w:rsidRPr="004A7189" w:rsidRDefault="00400FF2" w:rsidP="0046063C">
            <w:pPr>
              <w:framePr w:wrap="notBeside" w:vAnchor="page" w:hAnchor="margin" w:xAlign="center" w:y="6805"/>
              <w:widowControl w:val="0"/>
              <w:rPr>
                <w:rFonts w:eastAsia="SimSun"/>
                <w:lang w:val="en-US"/>
              </w:rPr>
            </w:pPr>
            <w:r>
              <w:rPr>
                <w:rFonts w:eastAsia="SimSun" w:hint="eastAsia"/>
                <w:lang w:val="en-US"/>
              </w:rPr>
              <w:t>Huawei/HiSilicon</w:t>
            </w:r>
          </w:p>
        </w:tc>
        <w:tc>
          <w:tcPr>
            <w:tcW w:w="1701" w:type="dxa"/>
          </w:tcPr>
          <w:p w:rsidR="001F2940" w:rsidRPr="004A7189" w:rsidRDefault="00400FF2" w:rsidP="0046063C">
            <w:pPr>
              <w:framePr w:wrap="notBeside" w:vAnchor="page" w:hAnchor="margin" w:xAlign="center" w:y="6805"/>
              <w:widowControl w:val="0"/>
              <w:rPr>
                <w:rFonts w:eastAsia="SimSun"/>
                <w:lang w:val="en-US"/>
              </w:rPr>
            </w:pPr>
            <w:r>
              <w:rPr>
                <w:rFonts w:eastAsia="SimSun"/>
                <w:lang w:val="en-US"/>
              </w:rPr>
              <w:t>S</w:t>
            </w:r>
            <w:r>
              <w:rPr>
                <w:rFonts w:eastAsia="SimSun" w:hint="eastAsia"/>
                <w:lang w:val="en-US"/>
              </w:rPr>
              <w:t>olution 2</w:t>
            </w:r>
          </w:p>
        </w:tc>
        <w:tc>
          <w:tcPr>
            <w:tcW w:w="6345" w:type="dxa"/>
          </w:tcPr>
          <w:p w:rsidR="001F2940" w:rsidRPr="004A7189" w:rsidRDefault="00400FF2" w:rsidP="00400FF2">
            <w:pPr>
              <w:framePr w:wrap="notBeside" w:vAnchor="page" w:hAnchor="margin" w:xAlign="center" w:y="6805"/>
              <w:widowControl w:val="0"/>
              <w:rPr>
                <w:rFonts w:eastAsia="SimSun"/>
                <w:lang w:val="en-US"/>
              </w:rPr>
            </w:pPr>
            <w:r>
              <w:rPr>
                <w:rFonts w:eastAsia="SimSun" w:hint="eastAsia"/>
                <w:lang w:val="en-US"/>
              </w:rPr>
              <w:t xml:space="preserve">We agree that solution 2 cannot provide full flexibility as solution 1, however full flexibility also means marketing fragment. We should try to avoid this. </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701"/>
        <w:gridCol w:w="6345"/>
      </w:tblGrid>
      <w:tr w:rsidR="00CF2647" w:rsidRPr="0072301B" w:rsidTr="0046063C">
        <w:tc>
          <w:tcPr>
            <w:tcW w:w="1809" w:type="dxa"/>
          </w:tcPr>
          <w:p w:rsidR="00CF2647" w:rsidRDefault="00CF2647" w:rsidP="0046063C">
            <w:pPr>
              <w:rPr>
                <w:rFonts w:eastAsia="SimSun"/>
                <w:lang w:val="en-US"/>
              </w:rPr>
            </w:pPr>
            <w:r>
              <w:rPr>
                <w:rFonts w:eastAsia="SimSun"/>
                <w:lang w:val="en-US"/>
              </w:rPr>
              <w:t>NVIDIA</w:t>
            </w:r>
          </w:p>
        </w:tc>
        <w:tc>
          <w:tcPr>
            <w:tcW w:w="1701" w:type="dxa"/>
          </w:tcPr>
          <w:p w:rsidR="00CF2647" w:rsidRDefault="00EC7FEC" w:rsidP="0046063C">
            <w:pPr>
              <w:rPr>
                <w:rFonts w:eastAsia="SimSun"/>
                <w:lang w:val="en-US"/>
              </w:rPr>
            </w:pPr>
            <w:r>
              <w:rPr>
                <w:rFonts w:eastAsia="SimSun"/>
                <w:lang w:val="en-US"/>
              </w:rPr>
              <w:t>Solution 2 with modification</w:t>
            </w:r>
          </w:p>
        </w:tc>
        <w:tc>
          <w:tcPr>
            <w:tcW w:w="6345" w:type="dxa"/>
          </w:tcPr>
          <w:p w:rsidR="009B2BD9" w:rsidRDefault="009B2BD9" w:rsidP="004B1A30">
            <w:pPr>
              <w:rPr>
                <w:rFonts w:eastAsia="SimSun"/>
                <w:lang w:val="en-US"/>
              </w:rPr>
            </w:pPr>
            <w:r>
              <w:rPr>
                <w:rFonts w:eastAsia="SimSun"/>
                <w:lang w:val="en-US"/>
              </w:rPr>
              <w:t xml:space="preserve">We concur with the views and provided examples that solution 2 </w:t>
            </w:r>
            <w:r w:rsidR="00B60444">
              <w:rPr>
                <w:rFonts w:eastAsia="SimSun"/>
                <w:lang w:val="en-US"/>
              </w:rPr>
              <w:t>cannot</w:t>
            </w:r>
            <w:r>
              <w:rPr>
                <w:rFonts w:eastAsia="SimSun"/>
                <w:lang w:val="en-US"/>
              </w:rPr>
              <w:t xml:space="preserve"> provide sufficient fl</w:t>
            </w:r>
            <w:r w:rsidR="002D0580">
              <w:rPr>
                <w:rFonts w:eastAsia="SimSun"/>
                <w:lang w:val="en-US"/>
              </w:rPr>
              <w:t>exibility in some scenarios. Hence, we would prefer to modify solution 2</w:t>
            </w:r>
            <w:r w:rsidR="00C43FC0">
              <w:rPr>
                <w:rFonts w:eastAsia="SimSun"/>
                <w:lang w:val="en-US"/>
              </w:rPr>
              <w:t>,</w:t>
            </w:r>
            <w:r w:rsidR="002D0580">
              <w:rPr>
                <w:rFonts w:eastAsia="SimSun"/>
                <w:lang w:val="en-US"/>
              </w:rPr>
              <w:t xml:space="preserve"> e.g. as proposed</w:t>
            </w:r>
            <w:r>
              <w:rPr>
                <w:rFonts w:eastAsia="SimSun"/>
                <w:lang w:val="en-US"/>
              </w:rPr>
              <w:t xml:space="preserve"> </w:t>
            </w:r>
            <w:r w:rsidR="002D0580">
              <w:rPr>
                <w:rFonts w:eastAsia="SimSun"/>
                <w:lang w:val="en-US"/>
              </w:rPr>
              <w:t>by Intel/Qualcomm</w:t>
            </w:r>
            <w:r w:rsidR="00D232E4">
              <w:rPr>
                <w:rFonts w:eastAsia="SimSun"/>
                <w:lang w:val="en-US"/>
              </w:rPr>
              <w:t xml:space="preserve">, aiming at indicating </w:t>
            </w:r>
            <w:r w:rsidR="00D232E4" w:rsidRPr="00D232E4">
              <w:rPr>
                <w:rFonts w:eastAsia="SimSun"/>
                <w:lang w:val="en-US"/>
              </w:rPr>
              <w:t>the maximum supported MIMO layers and CSI process</w:t>
            </w:r>
            <w:r w:rsidR="005B3A68">
              <w:rPr>
                <w:rFonts w:eastAsia="SimSun"/>
                <w:lang w:val="en-US"/>
              </w:rPr>
              <w:t>es</w:t>
            </w:r>
            <w:r w:rsidR="00D232E4" w:rsidRPr="00D232E4">
              <w:rPr>
                <w:rFonts w:eastAsia="SimSun"/>
                <w:lang w:val="en-US"/>
              </w:rPr>
              <w:t xml:space="preserve"> </w:t>
            </w:r>
            <w:r w:rsidR="00D232E4">
              <w:rPr>
                <w:rFonts w:eastAsia="SimSun"/>
                <w:lang w:val="en-US"/>
              </w:rPr>
              <w:t>on a per</w:t>
            </w:r>
            <w:r w:rsidR="00C43FC0">
              <w:rPr>
                <w:rFonts w:eastAsia="SimSun"/>
                <w:lang w:val="en-US"/>
              </w:rPr>
              <w:t>-</w:t>
            </w:r>
            <w:r w:rsidR="00D232E4" w:rsidRPr="00D232E4">
              <w:rPr>
                <w:rFonts w:eastAsia="SimSun"/>
                <w:lang w:val="en-US"/>
              </w:rPr>
              <w:t>carrier</w:t>
            </w:r>
            <w:r w:rsidR="00D232E4">
              <w:rPr>
                <w:rFonts w:eastAsia="SimSun"/>
                <w:lang w:val="en-US"/>
              </w:rPr>
              <w:t xml:space="preserve"> basis within the band combination.</w:t>
            </w:r>
            <w:r w:rsidR="00550A14">
              <w:rPr>
                <w:rFonts w:eastAsia="SimSun"/>
                <w:lang w:val="en-US"/>
              </w:rPr>
              <w:t xml:space="preserve"> </w:t>
            </w:r>
            <w:r>
              <w:rPr>
                <w:rFonts w:eastAsia="SimSun"/>
                <w:lang w:val="en-US"/>
              </w:rPr>
              <w:t xml:space="preserve">This approach </w:t>
            </w:r>
            <w:r w:rsidR="0014411C">
              <w:rPr>
                <w:rFonts w:eastAsia="SimSun"/>
                <w:lang w:val="en-US"/>
              </w:rPr>
              <w:t>w</w:t>
            </w:r>
            <w:r w:rsidR="004B1A30">
              <w:rPr>
                <w:rFonts w:eastAsia="SimSun"/>
                <w:lang w:val="en-US"/>
              </w:rPr>
              <w:t xml:space="preserve">ould also </w:t>
            </w:r>
            <w:r w:rsidR="00914831">
              <w:rPr>
                <w:rFonts w:eastAsia="SimSun"/>
                <w:lang w:val="en-US"/>
              </w:rPr>
              <w:t>be</w:t>
            </w:r>
            <w:r w:rsidR="00073DEB">
              <w:rPr>
                <w:rFonts w:eastAsia="SimSun"/>
                <w:lang w:val="en-US"/>
              </w:rPr>
              <w:t xml:space="preserve"> </w:t>
            </w:r>
            <w:r w:rsidR="00914831">
              <w:rPr>
                <w:rFonts w:eastAsia="SimSun"/>
                <w:lang w:val="en-US"/>
              </w:rPr>
              <w:t>cleaner</w:t>
            </w:r>
            <w:r w:rsidR="00073DEB">
              <w:rPr>
                <w:rFonts w:eastAsia="SimSun"/>
                <w:lang w:val="en-US"/>
              </w:rPr>
              <w:t xml:space="preserve"> in the sense that it does not</w:t>
            </w:r>
            <w:r w:rsidR="008E0086">
              <w:rPr>
                <w:rFonts w:eastAsia="SimSun"/>
                <w:lang w:val="en-US"/>
              </w:rPr>
              <w:t xml:space="preserve"> r</w:t>
            </w:r>
            <w:r w:rsidR="00073DEB">
              <w:rPr>
                <w:rFonts w:eastAsia="SimSun"/>
                <w:lang w:val="en-US"/>
              </w:rPr>
              <w:t>equire an a</w:t>
            </w:r>
            <w:r w:rsidR="008E0086">
              <w:rPr>
                <w:rFonts w:eastAsia="SimSun"/>
                <w:lang w:val="en-US"/>
              </w:rPr>
              <w:t>rtificial</w:t>
            </w:r>
            <w:r w:rsidR="00073DEB">
              <w:rPr>
                <w:rFonts w:eastAsia="SimSun"/>
                <w:lang w:val="en-US"/>
              </w:rPr>
              <w:t xml:space="preserve"> </w:t>
            </w:r>
            <w:r w:rsidR="00A657E0">
              <w:rPr>
                <w:rFonts w:eastAsia="SimSun"/>
                <w:lang w:val="en-US"/>
              </w:rPr>
              <w:t>bandwidth</w:t>
            </w:r>
            <w:r w:rsidR="008E0086">
              <w:rPr>
                <w:rFonts w:eastAsia="SimSun"/>
                <w:lang w:val="en-US"/>
              </w:rPr>
              <w:t xml:space="preserve"> class</w:t>
            </w:r>
            <w:r w:rsidR="00073DEB">
              <w:rPr>
                <w:rFonts w:eastAsia="SimSun"/>
                <w:lang w:val="en-US"/>
              </w:rPr>
              <w:t xml:space="preserve"> as in solution 1</w:t>
            </w:r>
            <w:r>
              <w:rPr>
                <w:rFonts w:eastAsia="SimSun"/>
                <w:lang w:val="en-US"/>
              </w:rPr>
              <w:t>.</w:t>
            </w:r>
          </w:p>
        </w:tc>
      </w:tr>
    </w:tbl>
    <w:p w:rsidR="004E7A9A" w:rsidRDefault="004E7A9A" w:rsidP="004E7A9A"/>
    <w:p w:rsidR="004E7A9A" w:rsidRDefault="004E7A9A" w:rsidP="004E7A9A">
      <w:pPr>
        <w:pStyle w:val="Heading1"/>
      </w:pPr>
      <w:r>
        <w:t>Email discussion result</w:t>
      </w:r>
    </w:p>
    <w:p w:rsidR="002A5E5A" w:rsidRPr="002A5E5A" w:rsidRDefault="002A5E5A" w:rsidP="002A5E5A">
      <w:pPr>
        <w:pStyle w:val="Heading2"/>
      </w:pPr>
      <w:r>
        <w:t>Summary</w:t>
      </w:r>
    </w:p>
    <w:p w:rsidR="001D050E" w:rsidRPr="00D65760" w:rsidRDefault="003E021C" w:rsidP="001D050E">
      <w:pPr>
        <w:pStyle w:val="ListParagraph"/>
        <w:numPr>
          <w:ilvl w:val="0"/>
          <w:numId w:val="19"/>
        </w:numPr>
        <w:rPr>
          <w:sz w:val="20"/>
          <w:szCs w:val="20"/>
        </w:rPr>
      </w:pPr>
      <w:r w:rsidRPr="00D65760">
        <w:rPr>
          <w:sz w:val="20"/>
          <w:szCs w:val="20"/>
        </w:rPr>
        <w:t>8 companies participated in the email discussion.</w:t>
      </w:r>
    </w:p>
    <w:p w:rsidR="00CC5DD7" w:rsidRPr="00D65760" w:rsidRDefault="00CC5DD7" w:rsidP="00CC5DD7">
      <w:pPr>
        <w:pStyle w:val="ListParagraph"/>
        <w:numPr>
          <w:ilvl w:val="1"/>
          <w:numId w:val="19"/>
        </w:numPr>
        <w:rPr>
          <w:sz w:val="20"/>
          <w:szCs w:val="20"/>
        </w:rPr>
      </w:pPr>
      <w:r w:rsidRPr="00D65760">
        <w:rPr>
          <w:sz w:val="20"/>
          <w:szCs w:val="20"/>
        </w:rPr>
        <w:t xml:space="preserve">4 </w:t>
      </w:r>
      <w:r w:rsidR="003E021C" w:rsidRPr="00D65760">
        <w:rPr>
          <w:sz w:val="20"/>
          <w:szCs w:val="20"/>
        </w:rPr>
        <w:t>companies expressed preference with Solution 2</w:t>
      </w:r>
      <w:r w:rsidRPr="00D65760">
        <w:rPr>
          <w:sz w:val="20"/>
          <w:szCs w:val="20"/>
        </w:rPr>
        <w:t>.</w:t>
      </w:r>
    </w:p>
    <w:p w:rsidR="001D050E" w:rsidRPr="00D65760" w:rsidRDefault="004A7189" w:rsidP="001D050E">
      <w:pPr>
        <w:pStyle w:val="ListParagraph"/>
        <w:numPr>
          <w:ilvl w:val="1"/>
          <w:numId w:val="19"/>
        </w:numPr>
        <w:rPr>
          <w:sz w:val="20"/>
          <w:szCs w:val="20"/>
        </w:rPr>
      </w:pPr>
      <w:r>
        <w:rPr>
          <w:sz w:val="20"/>
          <w:szCs w:val="20"/>
        </w:rPr>
        <w:t>No</w:t>
      </w:r>
      <w:r w:rsidR="00CC5DD7" w:rsidRPr="00D65760">
        <w:rPr>
          <w:sz w:val="20"/>
          <w:szCs w:val="20"/>
        </w:rPr>
        <w:t xml:space="preserve"> company expressed preference for Solution 1</w:t>
      </w:r>
      <w:r>
        <w:rPr>
          <w:sz w:val="20"/>
          <w:szCs w:val="20"/>
        </w:rPr>
        <w:t xml:space="preserve"> as the only way forward</w:t>
      </w:r>
      <w:r w:rsidR="007F375A" w:rsidRPr="00D65760">
        <w:rPr>
          <w:sz w:val="20"/>
          <w:szCs w:val="20"/>
        </w:rPr>
        <w:t>.</w:t>
      </w:r>
    </w:p>
    <w:p w:rsidR="001D050E" w:rsidRPr="00D65760" w:rsidRDefault="00CC5DD7" w:rsidP="001D050E">
      <w:pPr>
        <w:pStyle w:val="ListParagraph"/>
        <w:numPr>
          <w:ilvl w:val="1"/>
          <w:numId w:val="19"/>
        </w:numPr>
        <w:rPr>
          <w:sz w:val="20"/>
          <w:szCs w:val="20"/>
        </w:rPr>
      </w:pPr>
      <w:r w:rsidRPr="00D65760">
        <w:rPr>
          <w:sz w:val="20"/>
          <w:szCs w:val="20"/>
        </w:rPr>
        <w:t xml:space="preserve">4 </w:t>
      </w:r>
      <w:r w:rsidR="003E021C" w:rsidRPr="00D65760">
        <w:rPr>
          <w:sz w:val="20"/>
          <w:szCs w:val="20"/>
        </w:rPr>
        <w:t xml:space="preserve">companies expressed preference for a solution that offers more </w:t>
      </w:r>
      <w:r w:rsidRPr="00D65760">
        <w:rPr>
          <w:sz w:val="20"/>
          <w:szCs w:val="20"/>
        </w:rPr>
        <w:t>flexibility for UE implementation than Solution 2</w:t>
      </w:r>
      <w:r w:rsidR="007F375A" w:rsidRPr="00D65760">
        <w:rPr>
          <w:sz w:val="20"/>
          <w:szCs w:val="20"/>
        </w:rPr>
        <w:t>.</w:t>
      </w:r>
      <w:r w:rsidR="001D050E" w:rsidRPr="00D65760">
        <w:rPr>
          <w:sz w:val="20"/>
          <w:szCs w:val="20"/>
        </w:rPr>
        <w:br/>
      </w:r>
    </w:p>
    <w:p w:rsidR="001D050E" w:rsidRPr="00D65760" w:rsidRDefault="00F649D2" w:rsidP="001D050E">
      <w:pPr>
        <w:pStyle w:val="ListParagraph"/>
        <w:numPr>
          <w:ilvl w:val="0"/>
          <w:numId w:val="19"/>
        </w:numPr>
        <w:rPr>
          <w:sz w:val="20"/>
          <w:szCs w:val="20"/>
        </w:rPr>
      </w:pPr>
      <w:r w:rsidRPr="00D65760">
        <w:rPr>
          <w:sz w:val="20"/>
          <w:szCs w:val="20"/>
        </w:rPr>
        <w:t xml:space="preserve">The following example was used to indicate </w:t>
      </w:r>
      <w:r w:rsidR="001D050E" w:rsidRPr="00D65760">
        <w:rPr>
          <w:sz w:val="20"/>
          <w:szCs w:val="20"/>
        </w:rPr>
        <w:t>this lack of flexibility of Solution 2:</w:t>
      </w:r>
      <w:r w:rsidR="001D050E" w:rsidRPr="00D65760">
        <w:rPr>
          <w:sz w:val="20"/>
          <w:szCs w:val="20"/>
        </w:rPr>
        <w:br/>
      </w:r>
    </w:p>
    <w:p w:rsidR="001D050E" w:rsidRPr="00D65760" w:rsidRDefault="00266F97" w:rsidP="001D050E">
      <w:pPr>
        <w:pStyle w:val="ListParagraph"/>
        <w:numPr>
          <w:ilvl w:val="1"/>
          <w:numId w:val="19"/>
        </w:numPr>
        <w:rPr>
          <w:sz w:val="20"/>
          <w:szCs w:val="20"/>
        </w:rPr>
      </w:pPr>
      <w:r w:rsidRPr="00D65760">
        <w:rPr>
          <w:sz w:val="20"/>
          <w:szCs w:val="20"/>
        </w:rPr>
        <w:t xml:space="preserve">Configuration </w:t>
      </w:r>
      <w:r w:rsidR="007F375A" w:rsidRPr="00D65760">
        <w:rPr>
          <w:sz w:val="20"/>
          <w:szCs w:val="20"/>
        </w:rPr>
        <w:t>1. {DL=fourLayers,CSI-Proc=n1} + {DL=twoLayers,CSI-Proc=n4}</w:t>
      </w:r>
    </w:p>
    <w:p w:rsidR="001D050E" w:rsidRPr="00D65760" w:rsidRDefault="00266F97" w:rsidP="001D050E">
      <w:pPr>
        <w:pStyle w:val="ListParagraph"/>
        <w:numPr>
          <w:ilvl w:val="1"/>
          <w:numId w:val="19"/>
        </w:numPr>
        <w:rPr>
          <w:sz w:val="20"/>
          <w:szCs w:val="20"/>
        </w:rPr>
      </w:pPr>
      <w:r w:rsidRPr="00D65760">
        <w:rPr>
          <w:sz w:val="20"/>
          <w:szCs w:val="20"/>
        </w:rPr>
        <w:t xml:space="preserve">Configuration </w:t>
      </w:r>
      <w:r w:rsidR="007F375A" w:rsidRPr="00D65760">
        <w:rPr>
          <w:sz w:val="20"/>
          <w:szCs w:val="20"/>
        </w:rPr>
        <w:t>2. {DL=fourLayers,CSI-Proc=n4} + {DL=twoLayers,CSI-Proc=n1}</w:t>
      </w:r>
    </w:p>
    <w:p w:rsidR="001D050E" w:rsidRPr="00D65760" w:rsidRDefault="001D050E" w:rsidP="001D050E">
      <w:pPr>
        <w:pStyle w:val="ListParagraph"/>
        <w:ind w:left="1440"/>
        <w:rPr>
          <w:sz w:val="20"/>
          <w:szCs w:val="20"/>
        </w:rPr>
      </w:pPr>
      <w:r w:rsidRPr="00D65760">
        <w:rPr>
          <w:sz w:val="20"/>
          <w:szCs w:val="20"/>
        </w:rPr>
        <w:br/>
      </w:r>
      <w:r w:rsidR="00E76083" w:rsidRPr="00D65760">
        <w:rPr>
          <w:sz w:val="20"/>
          <w:szCs w:val="20"/>
        </w:rPr>
        <w:t xml:space="preserve">UE that supports Configuration 1, but not configuration 2, cannot express this with </w:t>
      </w:r>
      <w:r w:rsidR="00D65760">
        <w:rPr>
          <w:sz w:val="20"/>
          <w:szCs w:val="20"/>
        </w:rPr>
        <w:t xml:space="preserve">the signaling of </w:t>
      </w:r>
      <w:r w:rsidR="00E76083" w:rsidRPr="00D65760">
        <w:rPr>
          <w:sz w:val="20"/>
          <w:szCs w:val="20"/>
        </w:rPr>
        <w:t>Solution 2.</w:t>
      </w:r>
      <w:r w:rsidRPr="00D65760">
        <w:rPr>
          <w:sz w:val="20"/>
          <w:szCs w:val="20"/>
        </w:rPr>
        <w:br/>
      </w:r>
    </w:p>
    <w:p w:rsidR="005D466A" w:rsidRPr="00D65760" w:rsidRDefault="005D466A" w:rsidP="001D050E">
      <w:pPr>
        <w:pStyle w:val="ListParagraph"/>
        <w:numPr>
          <w:ilvl w:val="0"/>
          <w:numId w:val="19"/>
        </w:numPr>
        <w:rPr>
          <w:sz w:val="20"/>
          <w:szCs w:val="20"/>
        </w:rPr>
      </w:pPr>
      <w:r w:rsidRPr="00D65760">
        <w:rPr>
          <w:sz w:val="20"/>
          <w:szCs w:val="20"/>
        </w:rPr>
        <w:t>A modification of solution 2 was proposed</w:t>
      </w:r>
      <w:r w:rsidR="00F7085A" w:rsidRPr="00D65760">
        <w:rPr>
          <w:sz w:val="20"/>
          <w:szCs w:val="20"/>
        </w:rPr>
        <w:t>, where the capability signalling should indicate</w:t>
      </w:r>
      <w:r w:rsidR="00F649D2" w:rsidRPr="00D65760">
        <w:rPr>
          <w:sz w:val="20"/>
          <w:szCs w:val="20"/>
        </w:rPr>
        <w:t xml:space="preserve"> per carrier the maximum number of MIMO layers and CSI processes the UE can support</w:t>
      </w:r>
      <w:r w:rsidR="00D65760" w:rsidRPr="00D65760">
        <w:rPr>
          <w:sz w:val="20"/>
          <w:szCs w:val="20"/>
        </w:rPr>
        <w:t xml:space="preserve"> (as compared to the maximum per carrier </w:t>
      </w:r>
      <w:r w:rsidR="00F649D2" w:rsidRPr="00D65760">
        <w:rPr>
          <w:sz w:val="20"/>
          <w:szCs w:val="20"/>
        </w:rPr>
        <w:t>.</w:t>
      </w:r>
      <w:r w:rsidR="001D050E" w:rsidRPr="00D65760">
        <w:rPr>
          <w:sz w:val="20"/>
          <w:szCs w:val="20"/>
        </w:rPr>
        <w:br/>
      </w:r>
    </w:p>
    <w:p w:rsidR="001D050E" w:rsidRPr="00D65760" w:rsidRDefault="001D050E" w:rsidP="001D050E">
      <w:pPr>
        <w:pStyle w:val="ListParagraph"/>
        <w:numPr>
          <w:ilvl w:val="0"/>
          <w:numId w:val="19"/>
        </w:numPr>
        <w:rPr>
          <w:sz w:val="20"/>
          <w:szCs w:val="20"/>
        </w:rPr>
      </w:pPr>
      <w:r w:rsidRPr="00D65760">
        <w:rPr>
          <w:sz w:val="20"/>
          <w:szCs w:val="20"/>
        </w:rPr>
        <w:t>Some companies questioned if this flexibility was essential, and would mean market fragmentation.</w:t>
      </w:r>
    </w:p>
    <w:p w:rsidR="001D050E" w:rsidRPr="00D65760" w:rsidRDefault="001D050E" w:rsidP="001D050E"/>
    <w:p w:rsidR="002A5E5A" w:rsidRDefault="002A5E5A" w:rsidP="002A5E5A">
      <w:pPr>
        <w:pStyle w:val="Heading2"/>
      </w:pPr>
      <w:r>
        <w:t>Recommendation</w:t>
      </w:r>
    </w:p>
    <w:p w:rsidR="0055050F" w:rsidRPr="00D65760" w:rsidRDefault="00C1264D" w:rsidP="001D050E">
      <w:r w:rsidRPr="00D65760">
        <w:t xml:space="preserve">As </w:t>
      </w:r>
      <w:r w:rsidR="002A5E5A">
        <w:t>outcome</w:t>
      </w:r>
      <w:r w:rsidRPr="00D65760">
        <w:t xml:space="preserve"> of the email discussion, the following is proposed</w:t>
      </w:r>
      <w:r w:rsidR="002A5E5A">
        <w:t xml:space="preserve"> by the rapporteur</w:t>
      </w:r>
      <w:r w:rsidRPr="00D65760">
        <w:t>:</w:t>
      </w:r>
    </w:p>
    <w:p w:rsidR="00C1264D" w:rsidRPr="00D65760" w:rsidRDefault="00C1264D" w:rsidP="001D050E">
      <w:pPr>
        <w:rPr>
          <w:b/>
        </w:rPr>
      </w:pPr>
      <w:r w:rsidRPr="00D65760">
        <w:rPr>
          <w:b/>
        </w:rPr>
        <w:t>Proposal 1</w:t>
      </w:r>
      <w:r w:rsidRPr="00D65760">
        <w:rPr>
          <w:b/>
        </w:rPr>
        <w:tab/>
      </w:r>
      <w:r w:rsidR="00D65760" w:rsidRPr="00D65760">
        <w:rPr>
          <w:b/>
        </w:rPr>
        <w:tab/>
      </w:r>
      <w:r w:rsidRPr="00D65760">
        <w:rPr>
          <w:b/>
        </w:rPr>
        <w:t>RAN2 to conclude that Solution 1 is not agreed</w:t>
      </w:r>
      <w:r w:rsidR="00D65760" w:rsidRPr="00D65760">
        <w:rPr>
          <w:b/>
        </w:rPr>
        <w:t>.</w:t>
      </w:r>
    </w:p>
    <w:p w:rsidR="00C1264D" w:rsidRPr="00D65760" w:rsidRDefault="00D65760" w:rsidP="00D65760">
      <w:pPr>
        <w:ind w:left="1695" w:hanging="1695"/>
        <w:rPr>
          <w:b/>
        </w:rPr>
      </w:pPr>
      <w:r w:rsidRPr="00D65760">
        <w:rPr>
          <w:b/>
        </w:rPr>
        <w:lastRenderedPageBreak/>
        <w:t>Proposal 2</w:t>
      </w:r>
      <w:r w:rsidR="00C1264D" w:rsidRPr="00D65760">
        <w:rPr>
          <w:b/>
        </w:rPr>
        <w:tab/>
      </w:r>
      <w:r>
        <w:rPr>
          <w:b/>
        </w:rPr>
        <w:tab/>
      </w:r>
      <w:r w:rsidR="00C1264D" w:rsidRPr="00D65760">
        <w:rPr>
          <w:b/>
        </w:rPr>
        <w:t xml:space="preserve">RAN2 to discuss </w:t>
      </w:r>
      <w:r w:rsidRPr="00D65760">
        <w:rPr>
          <w:b/>
        </w:rPr>
        <w:t>and agree</w:t>
      </w:r>
      <w:r w:rsidR="00C1264D" w:rsidRPr="00D65760">
        <w:rPr>
          <w:b/>
        </w:rPr>
        <w:t xml:space="preserve"> </w:t>
      </w:r>
      <w:r>
        <w:rPr>
          <w:b/>
        </w:rPr>
        <w:t>if</w:t>
      </w:r>
      <w:r w:rsidR="00C1264D" w:rsidRPr="00D65760">
        <w:rPr>
          <w:b/>
        </w:rPr>
        <w:t xml:space="preserve"> </w:t>
      </w:r>
      <w:r w:rsidRPr="00D65760">
        <w:rPr>
          <w:b/>
        </w:rPr>
        <w:t xml:space="preserve">the </w:t>
      </w:r>
      <w:r w:rsidR="00C1264D" w:rsidRPr="00D65760">
        <w:rPr>
          <w:b/>
        </w:rPr>
        <w:t xml:space="preserve">flexibility </w:t>
      </w:r>
      <w:r w:rsidRPr="00D65760">
        <w:rPr>
          <w:b/>
        </w:rPr>
        <w:t>in Contiguous CA band capability signalling</w:t>
      </w:r>
      <w:r>
        <w:rPr>
          <w:b/>
        </w:rPr>
        <w:t>, as</w:t>
      </w:r>
      <w:r w:rsidRPr="00D65760">
        <w:rPr>
          <w:b/>
        </w:rPr>
        <w:t xml:space="preserve"> raised in the email discussion</w:t>
      </w:r>
      <w:r>
        <w:rPr>
          <w:b/>
        </w:rPr>
        <w:t>, is needed.</w:t>
      </w:r>
    </w:p>
    <w:p w:rsidR="00D65760" w:rsidRPr="00D65760" w:rsidRDefault="00D65760" w:rsidP="00D65760">
      <w:pPr>
        <w:ind w:left="1695" w:hanging="1695"/>
        <w:rPr>
          <w:b/>
        </w:rPr>
      </w:pPr>
      <w:r w:rsidRPr="00D65760">
        <w:rPr>
          <w:b/>
        </w:rPr>
        <w:t>Proposal 3</w:t>
      </w:r>
      <w:r w:rsidRPr="00D65760">
        <w:rPr>
          <w:b/>
        </w:rPr>
        <w:tab/>
      </w:r>
      <w:r>
        <w:rPr>
          <w:b/>
        </w:rPr>
        <w:tab/>
      </w:r>
      <w:r w:rsidRPr="00D65760">
        <w:rPr>
          <w:b/>
        </w:rPr>
        <w:t>If agreement on proposal 2 is reached, agree on a (potentially modified) Solution 2</w:t>
      </w:r>
      <w:r>
        <w:rPr>
          <w:b/>
        </w:rPr>
        <w:t>.</w:t>
      </w:r>
    </w:p>
    <w:p w:rsidR="00C1264D" w:rsidRDefault="00C1264D" w:rsidP="001D050E"/>
    <w:p w:rsidR="00F507D1" w:rsidRDefault="00F507D1" w:rsidP="00CE0424">
      <w:pPr>
        <w:pStyle w:val="Heading1"/>
      </w:pPr>
      <w:bookmarkStart w:id="1" w:name="_In-sequence_SDU_delivery"/>
      <w:bookmarkEnd w:id="1"/>
      <w:r w:rsidRPr="00CE0424">
        <w:t>References</w:t>
      </w:r>
    </w:p>
    <w:p w:rsidR="00F65DDA" w:rsidRDefault="00F65DDA" w:rsidP="00F65DDA">
      <w:pPr>
        <w:pStyle w:val="Reference"/>
        <w:numPr>
          <w:ilvl w:val="0"/>
          <w:numId w:val="0"/>
        </w:numPr>
        <w:ind w:left="570" w:hanging="570"/>
      </w:pPr>
      <w:r>
        <w:t xml:space="preserve"> [1]</w:t>
      </w:r>
      <w:r>
        <w:tab/>
      </w:r>
      <w:hyperlink r:id="rId9" w:history="1">
        <w:r w:rsidRPr="00C605CF">
          <w:rPr>
            <w:rStyle w:val="Hyperlink"/>
          </w:rPr>
          <w:t>R2-145163</w:t>
        </w:r>
      </w:hyperlink>
      <w:r>
        <w:tab/>
        <w:t>On the Limitations of Contiguous CA Capability Signaling</w:t>
      </w:r>
      <w:r>
        <w:br/>
        <w:t>Source: Qualcomm Incorporated</w:t>
      </w:r>
    </w:p>
    <w:p w:rsidR="00F65DDA" w:rsidRDefault="00F65DDA" w:rsidP="00F65DDA">
      <w:pPr>
        <w:pStyle w:val="Reference"/>
        <w:numPr>
          <w:ilvl w:val="0"/>
          <w:numId w:val="0"/>
        </w:numPr>
        <w:ind w:left="570" w:hanging="570"/>
      </w:pPr>
      <w:r>
        <w:t>[2]</w:t>
      </w:r>
      <w:r>
        <w:tab/>
      </w:r>
      <w:hyperlink r:id="rId10" w:history="1">
        <w:r>
          <w:rPr>
            <w:rStyle w:val="Hyperlink"/>
          </w:rPr>
          <w:t>R2-150466</w:t>
        </w:r>
      </w:hyperlink>
      <w:r>
        <w:tab/>
        <w:t xml:space="preserve">Contiguous CA capability signalling </w:t>
      </w:r>
      <w:r>
        <w:br/>
        <w:t>Source: Ericsson</w:t>
      </w:r>
    </w:p>
    <w:sectPr w:rsidR="00F65DDA" w:rsidSect="00297B3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C18" w:rsidRDefault="00D93C18">
      <w:r>
        <w:separator/>
      </w:r>
    </w:p>
  </w:endnote>
  <w:endnote w:type="continuationSeparator" w:id="0">
    <w:p w:rsidR="00D93C18" w:rsidRDefault="00D9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8F4" w:rsidRDefault="004E08F4" w:rsidP="00313FD6">
    <w:pPr>
      <w:pStyle w:val="Footer"/>
      <w:tabs>
        <w:tab w:val="center" w:pos="4820"/>
        <w:tab w:val="right" w:pos="9639"/>
      </w:tabs>
      <w:jc w:val="left"/>
    </w:pPr>
    <w:r>
      <w:tab/>
    </w:r>
    <w:r w:rsidR="00297B3C">
      <w:rPr>
        <w:rStyle w:val="PageNumber"/>
      </w:rPr>
      <w:fldChar w:fldCharType="begin"/>
    </w:r>
    <w:r>
      <w:rPr>
        <w:rStyle w:val="PageNumber"/>
      </w:rPr>
      <w:instrText xml:space="preserve"> PAGE </w:instrText>
    </w:r>
    <w:r w:rsidR="00297B3C">
      <w:rPr>
        <w:rStyle w:val="PageNumber"/>
      </w:rPr>
      <w:fldChar w:fldCharType="separate"/>
    </w:r>
    <w:r w:rsidR="002A5E5A">
      <w:rPr>
        <w:rStyle w:val="PageNumber"/>
      </w:rPr>
      <w:t>4</w:t>
    </w:r>
    <w:r w:rsidR="00297B3C">
      <w:rPr>
        <w:rStyle w:val="PageNumber"/>
      </w:rPr>
      <w:fldChar w:fldCharType="end"/>
    </w:r>
    <w:r>
      <w:rPr>
        <w:rStyle w:val="PageNumber"/>
      </w:rPr>
      <w:t>/</w:t>
    </w:r>
    <w:r w:rsidR="00297B3C">
      <w:rPr>
        <w:rStyle w:val="PageNumber"/>
      </w:rPr>
      <w:fldChar w:fldCharType="begin"/>
    </w:r>
    <w:r>
      <w:rPr>
        <w:rStyle w:val="PageNumber"/>
      </w:rPr>
      <w:instrText xml:space="preserve"> NUMPAGES </w:instrText>
    </w:r>
    <w:r w:rsidR="00297B3C">
      <w:rPr>
        <w:rStyle w:val="PageNumber"/>
      </w:rPr>
      <w:fldChar w:fldCharType="separate"/>
    </w:r>
    <w:r w:rsidR="002A5E5A">
      <w:rPr>
        <w:rStyle w:val="PageNumber"/>
      </w:rPr>
      <w:t>5</w:t>
    </w:r>
    <w:r w:rsidR="00297B3C">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C18" w:rsidRDefault="00D93C18">
      <w:r>
        <w:separator/>
      </w:r>
    </w:p>
  </w:footnote>
  <w:footnote w:type="continuationSeparator" w:id="0">
    <w:p w:rsidR="00D93C18" w:rsidRDefault="00D93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8F4" w:rsidRDefault="004E08F4">
    <w:r>
      <w:t xml:space="preserve">Page </w:t>
    </w:r>
    <w:r w:rsidR="00297B3C">
      <w:fldChar w:fldCharType="begin"/>
    </w:r>
    <w:r w:rsidR="006257A9">
      <w:instrText>PAGE</w:instrText>
    </w:r>
    <w:r w:rsidR="00297B3C">
      <w:fldChar w:fldCharType="separate"/>
    </w:r>
    <w:r>
      <w:t>4</w:t>
    </w:r>
    <w:r w:rsidR="00297B3C">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E885C4"/>
    <w:lvl w:ilvl="0">
      <w:start w:val="1"/>
      <w:numFmt w:val="decimal"/>
      <w:lvlText w:val="%1."/>
      <w:lvlJc w:val="left"/>
      <w:pPr>
        <w:tabs>
          <w:tab w:val="num" w:pos="1492"/>
        </w:tabs>
        <w:ind w:left="1492" w:hanging="360"/>
      </w:pPr>
    </w:lvl>
  </w:abstractNum>
  <w:abstractNum w:abstractNumId="1">
    <w:nsid w:val="FFFFFF7D"/>
    <w:multiLevelType w:val="singleLevel"/>
    <w:tmpl w:val="7FF8CFEA"/>
    <w:lvl w:ilvl="0">
      <w:start w:val="1"/>
      <w:numFmt w:val="decimal"/>
      <w:lvlText w:val="%1."/>
      <w:lvlJc w:val="left"/>
      <w:pPr>
        <w:tabs>
          <w:tab w:val="num" w:pos="1209"/>
        </w:tabs>
        <w:ind w:left="1209" w:hanging="360"/>
      </w:pPr>
    </w:lvl>
  </w:abstractNum>
  <w:abstractNum w:abstractNumId="2">
    <w:nsid w:val="FFFFFF7E"/>
    <w:multiLevelType w:val="singleLevel"/>
    <w:tmpl w:val="2460DB38"/>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3AE1370"/>
    <w:multiLevelType w:val="hybridMultilevel"/>
    <w:tmpl w:val="D1B80D8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0526E6"/>
    <w:multiLevelType w:val="hybridMultilevel"/>
    <w:tmpl w:val="0E948878"/>
    <w:lvl w:ilvl="0" w:tplc="3CD4FDA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06E3F59"/>
    <w:multiLevelType w:val="hybridMultilevel"/>
    <w:tmpl w:val="DE1C82AC"/>
    <w:lvl w:ilvl="0" w:tplc="1D5A63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A95E27"/>
    <w:multiLevelType w:val="hybridMultilevel"/>
    <w:tmpl w:val="0E948878"/>
    <w:lvl w:ilvl="0" w:tplc="3CD4FDA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74483868"/>
    <w:multiLevelType w:val="hybridMultilevel"/>
    <w:tmpl w:val="0FBCEF5C"/>
    <w:lvl w:ilvl="0" w:tplc="982670E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78BB0066"/>
    <w:multiLevelType w:val="hybridMultilevel"/>
    <w:tmpl w:val="75968A0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13"/>
  </w:num>
  <w:num w:numId="15">
    <w:abstractNumId w:val="18"/>
  </w:num>
  <w:num w:numId="16">
    <w:abstractNumId w:val="17"/>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hari, Amir">
    <w15:presenceInfo w15:providerId="AD" w15:userId="S-1-5-21-945540591-4024260831-3861152641-349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6446"/>
    <w:rsid w:val="00006896"/>
    <w:rsid w:val="00007CDC"/>
    <w:rsid w:val="00011B28"/>
    <w:rsid w:val="00012CA8"/>
    <w:rsid w:val="00015D15"/>
    <w:rsid w:val="0002564D"/>
    <w:rsid w:val="00025ECA"/>
    <w:rsid w:val="000325B8"/>
    <w:rsid w:val="00034C15"/>
    <w:rsid w:val="00036BA1"/>
    <w:rsid w:val="000422E2"/>
    <w:rsid w:val="00042F22"/>
    <w:rsid w:val="000444EF"/>
    <w:rsid w:val="00046C1B"/>
    <w:rsid w:val="00052A07"/>
    <w:rsid w:val="000534E3"/>
    <w:rsid w:val="0005606A"/>
    <w:rsid w:val="00057117"/>
    <w:rsid w:val="000616E7"/>
    <w:rsid w:val="0006487E"/>
    <w:rsid w:val="00065E1A"/>
    <w:rsid w:val="00073DEB"/>
    <w:rsid w:val="00077E5F"/>
    <w:rsid w:val="0008036A"/>
    <w:rsid w:val="00081AE6"/>
    <w:rsid w:val="000855EB"/>
    <w:rsid w:val="00085B52"/>
    <w:rsid w:val="00086348"/>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944"/>
    <w:rsid w:val="000D0D07"/>
    <w:rsid w:val="000D4797"/>
    <w:rsid w:val="000E0527"/>
    <w:rsid w:val="000E1E92"/>
    <w:rsid w:val="000F06D6"/>
    <w:rsid w:val="000F0EB1"/>
    <w:rsid w:val="000F1106"/>
    <w:rsid w:val="000F1E15"/>
    <w:rsid w:val="000F3BE9"/>
    <w:rsid w:val="000F3F6C"/>
    <w:rsid w:val="000F6DF3"/>
    <w:rsid w:val="001005FF"/>
    <w:rsid w:val="00100F45"/>
    <w:rsid w:val="001062FB"/>
    <w:rsid w:val="001063E6"/>
    <w:rsid w:val="00113CF4"/>
    <w:rsid w:val="001153EA"/>
    <w:rsid w:val="00115643"/>
    <w:rsid w:val="00116765"/>
    <w:rsid w:val="00117BBB"/>
    <w:rsid w:val="001219F5"/>
    <w:rsid w:val="00121A20"/>
    <w:rsid w:val="0012377F"/>
    <w:rsid w:val="00124314"/>
    <w:rsid w:val="00126B4A"/>
    <w:rsid w:val="00132FD0"/>
    <w:rsid w:val="001344C0"/>
    <w:rsid w:val="001346FA"/>
    <w:rsid w:val="00135252"/>
    <w:rsid w:val="00137AB5"/>
    <w:rsid w:val="00137F0B"/>
    <w:rsid w:val="00143008"/>
    <w:rsid w:val="0014411C"/>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050E"/>
    <w:rsid w:val="001D51BA"/>
    <w:rsid w:val="001D6342"/>
    <w:rsid w:val="001D6D53"/>
    <w:rsid w:val="001E58E2"/>
    <w:rsid w:val="001E7AED"/>
    <w:rsid w:val="001F2689"/>
    <w:rsid w:val="001F2940"/>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5D91"/>
    <w:rsid w:val="00257543"/>
    <w:rsid w:val="002617E7"/>
    <w:rsid w:val="00264228"/>
    <w:rsid w:val="00264334"/>
    <w:rsid w:val="0026473E"/>
    <w:rsid w:val="00266214"/>
    <w:rsid w:val="00266F97"/>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97B3C"/>
    <w:rsid w:val="002A055E"/>
    <w:rsid w:val="002A1D4E"/>
    <w:rsid w:val="002A2869"/>
    <w:rsid w:val="002A5E5A"/>
    <w:rsid w:val="002B24D6"/>
    <w:rsid w:val="002C41E6"/>
    <w:rsid w:val="002D0580"/>
    <w:rsid w:val="002D071A"/>
    <w:rsid w:val="002D34B2"/>
    <w:rsid w:val="002D7637"/>
    <w:rsid w:val="002E17F2"/>
    <w:rsid w:val="002E5CAA"/>
    <w:rsid w:val="002E7CAE"/>
    <w:rsid w:val="002F2771"/>
    <w:rsid w:val="002F37A9"/>
    <w:rsid w:val="00301CE6"/>
    <w:rsid w:val="0030256B"/>
    <w:rsid w:val="0030501F"/>
    <w:rsid w:val="00307BA1"/>
    <w:rsid w:val="00311702"/>
    <w:rsid w:val="00311E82"/>
    <w:rsid w:val="003126CD"/>
    <w:rsid w:val="00313FD6"/>
    <w:rsid w:val="003143BD"/>
    <w:rsid w:val="003203ED"/>
    <w:rsid w:val="00322C9F"/>
    <w:rsid w:val="0032460C"/>
    <w:rsid w:val="00324D23"/>
    <w:rsid w:val="00331751"/>
    <w:rsid w:val="00334579"/>
    <w:rsid w:val="00335858"/>
    <w:rsid w:val="00336BDA"/>
    <w:rsid w:val="00341B37"/>
    <w:rsid w:val="00342BD7"/>
    <w:rsid w:val="00346DB5"/>
    <w:rsid w:val="003477B1"/>
    <w:rsid w:val="00357380"/>
    <w:rsid w:val="00357445"/>
    <w:rsid w:val="003579EB"/>
    <w:rsid w:val="003602D9"/>
    <w:rsid w:val="003604CE"/>
    <w:rsid w:val="00370E47"/>
    <w:rsid w:val="00371D2C"/>
    <w:rsid w:val="003742AC"/>
    <w:rsid w:val="00377CE1"/>
    <w:rsid w:val="003808A7"/>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5B56"/>
    <w:rsid w:val="003C7806"/>
    <w:rsid w:val="003D109F"/>
    <w:rsid w:val="003D2478"/>
    <w:rsid w:val="003D3C45"/>
    <w:rsid w:val="003D5B1F"/>
    <w:rsid w:val="003D7F43"/>
    <w:rsid w:val="003E021C"/>
    <w:rsid w:val="003E15FA"/>
    <w:rsid w:val="003E55E4"/>
    <w:rsid w:val="003E74E3"/>
    <w:rsid w:val="003F05C7"/>
    <w:rsid w:val="003F1A62"/>
    <w:rsid w:val="003F2CD4"/>
    <w:rsid w:val="003F6BBE"/>
    <w:rsid w:val="004000E8"/>
    <w:rsid w:val="00400FF2"/>
    <w:rsid w:val="00402E2B"/>
    <w:rsid w:val="0040512B"/>
    <w:rsid w:val="00405CA5"/>
    <w:rsid w:val="00407CD3"/>
    <w:rsid w:val="00410134"/>
    <w:rsid w:val="00410B72"/>
    <w:rsid w:val="00410F18"/>
    <w:rsid w:val="004117A3"/>
    <w:rsid w:val="0041263E"/>
    <w:rsid w:val="00413AAC"/>
    <w:rsid w:val="00421105"/>
    <w:rsid w:val="004242F4"/>
    <w:rsid w:val="00427248"/>
    <w:rsid w:val="004308DF"/>
    <w:rsid w:val="00434771"/>
    <w:rsid w:val="00437447"/>
    <w:rsid w:val="00441A92"/>
    <w:rsid w:val="0044423B"/>
    <w:rsid w:val="00444F56"/>
    <w:rsid w:val="00445C64"/>
    <w:rsid w:val="00446488"/>
    <w:rsid w:val="004517AA"/>
    <w:rsid w:val="00452CAC"/>
    <w:rsid w:val="00457565"/>
    <w:rsid w:val="00457B71"/>
    <w:rsid w:val="0046063C"/>
    <w:rsid w:val="004669E2"/>
    <w:rsid w:val="0046730F"/>
    <w:rsid w:val="00470C31"/>
    <w:rsid w:val="004734D0"/>
    <w:rsid w:val="0047556B"/>
    <w:rsid w:val="00477768"/>
    <w:rsid w:val="00492BC5"/>
    <w:rsid w:val="004964F1"/>
    <w:rsid w:val="004A16BC"/>
    <w:rsid w:val="004A2B51"/>
    <w:rsid w:val="004A2B94"/>
    <w:rsid w:val="004A7189"/>
    <w:rsid w:val="004B1A30"/>
    <w:rsid w:val="004B7C0C"/>
    <w:rsid w:val="004C3898"/>
    <w:rsid w:val="004D36B1"/>
    <w:rsid w:val="004D7EBD"/>
    <w:rsid w:val="004E08F4"/>
    <w:rsid w:val="004E2680"/>
    <w:rsid w:val="004E28F9"/>
    <w:rsid w:val="004E462E"/>
    <w:rsid w:val="004E56DC"/>
    <w:rsid w:val="004E76F4"/>
    <w:rsid w:val="004E7A9A"/>
    <w:rsid w:val="004F0B4E"/>
    <w:rsid w:val="004F0B6C"/>
    <w:rsid w:val="004F2078"/>
    <w:rsid w:val="004F4DA3"/>
    <w:rsid w:val="00506557"/>
    <w:rsid w:val="0050677A"/>
    <w:rsid w:val="005108D8"/>
    <w:rsid w:val="005116F9"/>
    <w:rsid w:val="005153A7"/>
    <w:rsid w:val="005219CF"/>
    <w:rsid w:val="00527027"/>
    <w:rsid w:val="00530FD1"/>
    <w:rsid w:val="00534B59"/>
    <w:rsid w:val="00536759"/>
    <w:rsid w:val="00537C62"/>
    <w:rsid w:val="00543A69"/>
    <w:rsid w:val="005453DD"/>
    <w:rsid w:val="00546970"/>
    <w:rsid w:val="0055050F"/>
    <w:rsid w:val="00550A14"/>
    <w:rsid w:val="00554E19"/>
    <w:rsid w:val="0056121F"/>
    <w:rsid w:val="00572505"/>
    <w:rsid w:val="00582809"/>
    <w:rsid w:val="0058798C"/>
    <w:rsid w:val="00587FA9"/>
    <w:rsid w:val="005900FA"/>
    <w:rsid w:val="005935A4"/>
    <w:rsid w:val="005948C2"/>
    <w:rsid w:val="00595DCA"/>
    <w:rsid w:val="0059779B"/>
    <w:rsid w:val="005A209A"/>
    <w:rsid w:val="005A662D"/>
    <w:rsid w:val="005B35D7"/>
    <w:rsid w:val="005B392A"/>
    <w:rsid w:val="005B3A68"/>
    <w:rsid w:val="005B3AA3"/>
    <w:rsid w:val="005B6F83"/>
    <w:rsid w:val="005C74FB"/>
    <w:rsid w:val="005D1602"/>
    <w:rsid w:val="005D466A"/>
    <w:rsid w:val="005E385F"/>
    <w:rsid w:val="005E5834"/>
    <w:rsid w:val="005E5B81"/>
    <w:rsid w:val="005F2CB1"/>
    <w:rsid w:val="005F3025"/>
    <w:rsid w:val="005F618C"/>
    <w:rsid w:val="005F70BD"/>
    <w:rsid w:val="0060283C"/>
    <w:rsid w:val="00604F14"/>
    <w:rsid w:val="006112E4"/>
    <w:rsid w:val="00611B83"/>
    <w:rsid w:val="00613257"/>
    <w:rsid w:val="00620A71"/>
    <w:rsid w:val="00620D80"/>
    <w:rsid w:val="006234A6"/>
    <w:rsid w:val="00624ABB"/>
    <w:rsid w:val="006257A9"/>
    <w:rsid w:val="00630001"/>
    <w:rsid w:val="006311B3"/>
    <w:rsid w:val="00631F81"/>
    <w:rsid w:val="0063284C"/>
    <w:rsid w:val="00636398"/>
    <w:rsid w:val="006368D3"/>
    <w:rsid w:val="006377EC"/>
    <w:rsid w:val="0064151F"/>
    <w:rsid w:val="00641533"/>
    <w:rsid w:val="0064208D"/>
    <w:rsid w:val="00643475"/>
    <w:rsid w:val="0064396A"/>
    <w:rsid w:val="00645491"/>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CCB"/>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2D05"/>
    <w:rsid w:val="006F341D"/>
    <w:rsid w:val="006F3CDE"/>
    <w:rsid w:val="006F58D4"/>
    <w:rsid w:val="0070346E"/>
    <w:rsid w:val="00704EDB"/>
    <w:rsid w:val="007057E8"/>
    <w:rsid w:val="00706101"/>
    <w:rsid w:val="00707072"/>
    <w:rsid w:val="00707D61"/>
    <w:rsid w:val="00712287"/>
    <w:rsid w:val="00712772"/>
    <w:rsid w:val="007148D3"/>
    <w:rsid w:val="00715B9A"/>
    <w:rsid w:val="0072301B"/>
    <w:rsid w:val="00726EA6"/>
    <w:rsid w:val="00727208"/>
    <w:rsid w:val="00727680"/>
    <w:rsid w:val="007348B1"/>
    <w:rsid w:val="00735268"/>
    <w:rsid w:val="007362A6"/>
    <w:rsid w:val="00736D7D"/>
    <w:rsid w:val="00740E58"/>
    <w:rsid w:val="007445A0"/>
    <w:rsid w:val="0074524B"/>
    <w:rsid w:val="00747D8B"/>
    <w:rsid w:val="00751228"/>
    <w:rsid w:val="007571E1"/>
    <w:rsid w:val="007604B2"/>
    <w:rsid w:val="00765281"/>
    <w:rsid w:val="00766BAD"/>
    <w:rsid w:val="0076708C"/>
    <w:rsid w:val="007755F2"/>
    <w:rsid w:val="00776971"/>
    <w:rsid w:val="0078177E"/>
    <w:rsid w:val="0078304C"/>
    <w:rsid w:val="00783673"/>
    <w:rsid w:val="00785490"/>
    <w:rsid w:val="007925EA"/>
    <w:rsid w:val="00793CD8"/>
    <w:rsid w:val="00795C92"/>
    <w:rsid w:val="00796231"/>
    <w:rsid w:val="0079712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375A"/>
    <w:rsid w:val="007F7A52"/>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3C1D"/>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B18"/>
    <w:rsid w:val="008B51A0"/>
    <w:rsid w:val="008B592A"/>
    <w:rsid w:val="008B7B5C"/>
    <w:rsid w:val="008C081A"/>
    <w:rsid w:val="008C0C99"/>
    <w:rsid w:val="008C2017"/>
    <w:rsid w:val="008C4958"/>
    <w:rsid w:val="008C4BAA"/>
    <w:rsid w:val="008C6AE8"/>
    <w:rsid w:val="008C7573"/>
    <w:rsid w:val="008D0C43"/>
    <w:rsid w:val="008D34F1"/>
    <w:rsid w:val="008D39D8"/>
    <w:rsid w:val="008D6D1A"/>
    <w:rsid w:val="008E0086"/>
    <w:rsid w:val="008E065E"/>
    <w:rsid w:val="008E0927"/>
    <w:rsid w:val="008E1909"/>
    <w:rsid w:val="008F1EAB"/>
    <w:rsid w:val="008F33DC"/>
    <w:rsid w:val="008F477F"/>
    <w:rsid w:val="008F523A"/>
    <w:rsid w:val="00902350"/>
    <w:rsid w:val="0090336B"/>
    <w:rsid w:val="009053AA"/>
    <w:rsid w:val="00906939"/>
    <w:rsid w:val="00910B7D"/>
    <w:rsid w:val="00911332"/>
    <w:rsid w:val="00911DFB"/>
    <w:rsid w:val="009139D9"/>
    <w:rsid w:val="00914831"/>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5B3E"/>
    <w:rsid w:val="0095681E"/>
    <w:rsid w:val="00956D7B"/>
    <w:rsid w:val="009572D4"/>
    <w:rsid w:val="00961921"/>
    <w:rsid w:val="0096430A"/>
    <w:rsid w:val="0096554B"/>
    <w:rsid w:val="0096584A"/>
    <w:rsid w:val="00971F08"/>
    <w:rsid w:val="0097603D"/>
    <w:rsid w:val="00976949"/>
    <w:rsid w:val="00980477"/>
    <w:rsid w:val="00984A7A"/>
    <w:rsid w:val="00985253"/>
    <w:rsid w:val="009853B3"/>
    <w:rsid w:val="00990630"/>
    <w:rsid w:val="00991761"/>
    <w:rsid w:val="00994DCA"/>
    <w:rsid w:val="009960EC"/>
    <w:rsid w:val="009970DD"/>
    <w:rsid w:val="009A0FBA"/>
    <w:rsid w:val="009A1601"/>
    <w:rsid w:val="009A462D"/>
    <w:rsid w:val="009A5CBA"/>
    <w:rsid w:val="009B1F30"/>
    <w:rsid w:val="009B2BD9"/>
    <w:rsid w:val="009B3AC2"/>
    <w:rsid w:val="009B4DF4"/>
    <w:rsid w:val="009B564E"/>
    <w:rsid w:val="009B7E87"/>
    <w:rsid w:val="009C403E"/>
    <w:rsid w:val="009D0EF6"/>
    <w:rsid w:val="009D4FF0"/>
    <w:rsid w:val="009D703C"/>
    <w:rsid w:val="009D718F"/>
    <w:rsid w:val="009E068F"/>
    <w:rsid w:val="009E138D"/>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365F1"/>
    <w:rsid w:val="00A3793A"/>
    <w:rsid w:val="00A41E2B"/>
    <w:rsid w:val="00A4223B"/>
    <w:rsid w:val="00A42AD2"/>
    <w:rsid w:val="00A45B74"/>
    <w:rsid w:val="00A52E1D"/>
    <w:rsid w:val="00A61499"/>
    <w:rsid w:val="00A62A77"/>
    <w:rsid w:val="00A632E1"/>
    <w:rsid w:val="00A63483"/>
    <w:rsid w:val="00A657D7"/>
    <w:rsid w:val="00A657E0"/>
    <w:rsid w:val="00A660AC"/>
    <w:rsid w:val="00A67E6C"/>
    <w:rsid w:val="00A71B99"/>
    <w:rsid w:val="00A739D0"/>
    <w:rsid w:val="00A761D4"/>
    <w:rsid w:val="00A77EC4"/>
    <w:rsid w:val="00A80760"/>
    <w:rsid w:val="00A92879"/>
    <w:rsid w:val="00A9442A"/>
    <w:rsid w:val="00AA016F"/>
    <w:rsid w:val="00AA1ED6"/>
    <w:rsid w:val="00AA51D6"/>
    <w:rsid w:val="00AB0BC8"/>
    <w:rsid w:val="00AB11CA"/>
    <w:rsid w:val="00AB14D9"/>
    <w:rsid w:val="00AB4AB8"/>
    <w:rsid w:val="00AB60DA"/>
    <w:rsid w:val="00AB655E"/>
    <w:rsid w:val="00AC007F"/>
    <w:rsid w:val="00AC2ECD"/>
    <w:rsid w:val="00AC3119"/>
    <w:rsid w:val="00AC49FB"/>
    <w:rsid w:val="00AC5A10"/>
    <w:rsid w:val="00AD0AA3"/>
    <w:rsid w:val="00AD14FB"/>
    <w:rsid w:val="00AD3F94"/>
    <w:rsid w:val="00AD4A5A"/>
    <w:rsid w:val="00AE27AC"/>
    <w:rsid w:val="00AE40E0"/>
    <w:rsid w:val="00AE4DBA"/>
    <w:rsid w:val="00AE4F07"/>
    <w:rsid w:val="00AF1C5D"/>
    <w:rsid w:val="00AF2AE0"/>
    <w:rsid w:val="00AF42D7"/>
    <w:rsid w:val="00B006FE"/>
    <w:rsid w:val="00B007CB"/>
    <w:rsid w:val="00B02AA9"/>
    <w:rsid w:val="00B02FA3"/>
    <w:rsid w:val="00B05084"/>
    <w:rsid w:val="00B11909"/>
    <w:rsid w:val="00B157F9"/>
    <w:rsid w:val="00B15EC2"/>
    <w:rsid w:val="00B20256"/>
    <w:rsid w:val="00B20D09"/>
    <w:rsid w:val="00B258F8"/>
    <w:rsid w:val="00B2763F"/>
    <w:rsid w:val="00B27AAC"/>
    <w:rsid w:val="00B30929"/>
    <w:rsid w:val="00B372AA"/>
    <w:rsid w:val="00B40445"/>
    <w:rsid w:val="00B41888"/>
    <w:rsid w:val="00B45A52"/>
    <w:rsid w:val="00B46175"/>
    <w:rsid w:val="00B60444"/>
    <w:rsid w:val="00B664C7"/>
    <w:rsid w:val="00B739F6"/>
    <w:rsid w:val="00B81A6C"/>
    <w:rsid w:val="00B85DE5"/>
    <w:rsid w:val="00B90F73"/>
    <w:rsid w:val="00B93B59"/>
    <w:rsid w:val="00B9406A"/>
    <w:rsid w:val="00B957B2"/>
    <w:rsid w:val="00B96C7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64D"/>
    <w:rsid w:val="00C14D4B"/>
    <w:rsid w:val="00C154BB"/>
    <w:rsid w:val="00C279B5"/>
    <w:rsid w:val="00C27C45"/>
    <w:rsid w:val="00C3719D"/>
    <w:rsid w:val="00C43FC0"/>
    <w:rsid w:val="00C54995"/>
    <w:rsid w:val="00C54D41"/>
    <w:rsid w:val="00C60783"/>
    <w:rsid w:val="00C64672"/>
    <w:rsid w:val="00C65B8E"/>
    <w:rsid w:val="00C70697"/>
    <w:rsid w:val="00C72EF4"/>
    <w:rsid w:val="00C751F1"/>
    <w:rsid w:val="00C75D2F"/>
    <w:rsid w:val="00C767BE"/>
    <w:rsid w:val="00C76E3C"/>
    <w:rsid w:val="00C81568"/>
    <w:rsid w:val="00C9027A"/>
    <w:rsid w:val="00C9068E"/>
    <w:rsid w:val="00C93C4B"/>
    <w:rsid w:val="00C944AB"/>
    <w:rsid w:val="00C95B40"/>
    <w:rsid w:val="00CA1ED8"/>
    <w:rsid w:val="00CA3C80"/>
    <w:rsid w:val="00CA48E9"/>
    <w:rsid w:val="00CB1F63"/>
    <w:rsid w:val="00CB7170"/>
    <w:rsid w:val="00CC040E"/>
    <w:rsid w:val="00CC111F"/>
    <w:rsid w:val="00CC2011"/>
    <w:rsid w:val="00CC3EA0"/>
    <w:rsid w:val="00CC5DD7"/>
    <w:rsid w:val="00CC7B45"/>
    <w:rsid w:val="00CD1188"/>
    <w:rsid w:val="00CD2ED1"/>
    <w:rsid w:val="00CD337B"/>
    <w:rsid w:val="00CE0424"/>
    <w:rsid w:val="00CE7561"/>
    <w:rsid w:val="00CF1354"/>
    <w:rsid w:val="00CF2647"/>
    <w:rsid w:val="00CF3B1F"/>
    <w:rsid w:val="00CF3BF6"/>
    <w:rsid w:val="00CF625B"/>
    <w:rsid w:val="00CF687E"/>
    <w:rsid w:val="00D0349B"/>
    <w:rsid w:val="00D10249"/>
    <w:rsid w:val="00D115C3"/>
    <w:rsid w:val="00D11897"/>
    <w:rsid w:val="00D13135"/>
    <w:rsid w:val="00D13E4E"/>
    <w:rsid w:val="00D22BC2"/>
    <w:rsid w:val="00D232E4"/>
    <w:rsid w:val="00D239A7"/>
    <w:rsid w:val="00D23F47"/>
    <w:rsid w:val="00D36E71"/>
    <w:rsid w:val="00D37D87"/>
    <w:rsid w:val="00D40B33"/>
    <w:rsid w:val="00D4318F"/>
    <w:rsid w:val="00D438BF"/>
    <w:rsid w:val="00D440F8"/>
    <w:rsid w:val="00D546FF"/>
    <w:rsid w:val="00D55AD5"/>
    <w:rsid w:val="00D576CA"/>
    <w:rsid w:val="00D61AF5"/>
    <w:rsid w:val="00D652B5"/>
    <w:rsid w:val="00D65760"/>
    <w:rsid w:val="00D66155"/>
    <w:rsid w:val="00D7012E"/>
    <w:rsid w:val="00D708B0"/>
    <w:rsid w:val="00D77B1D"/>
    <w:rsid w:val="00D8021F"/>
    <w:rsid w:val="00D80383"/>
    <w:rsid w:val="00D823C6"/>
    <w:rsid w:val="00D86CA3"/>
    <w:rsid w:val="00D871CE"/>
    <w:rsid w:val="00D9196D"/>
    <w:rsid w:val="00D92982"/>
    <w:rsid w:val="00D93C18"/>
    <w:rsid w:val="00D95DF5"/>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5DA1"/>
    <w:rsid w:val="00E30B5A"/>
    <w:rsid w:val="00E3123D"/>
    <w:rsid w:val="00E31461"/>
    <w:rsid w:val="00E31AEA"/>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6083"/>
    <w:rsid w:val="00E76E98"/>
    <w:rsid w:val="00E8234C"/>
    <w:rsid w:val="00E83AA9"/>
    <w:rsid w:val="00E85928"/>
    <w:rsid w:val="00E87822"/>
    <w:rsid w:val="00E90395"/>
    <w:rsid w:val="00E90E49"/>
    <w:rsid w:val="00E917F9"/>
    <w:rsid w:val="00E9291C"/>
    <w:rsid w:val="00E93FFE"/>
    <w:rsid w:val="00E94F8A"/>
    <w:rsid w:val="00E951EC"/>
    <w:rsid w:val="00EA7A41"/>
    <w:rsid w:val="00EB077B"/>
    <w:rsid w:val="00EB4EA2"/>
    <w:rsid w:val="00EC27C6"/>
    <w:rsid w:val="00EC4207"/>
    <w:rsid w:val="00EC5653"/>
    <w:rsid w:val="00EC71CE"/>
    <w:rsid w:val="00EC7FEC"/>
    <w:rsid w:val="00ED1006"/>
    <w:rsid w:val="00EE78DA"/>
    <w:rsid w:val="00EF18FE"/>
    <w:rsid w:val="00EF3C81"/>
    <w:rsid w:val="00EF5787"/>
    <w:rsid w:val="00EF60D0"/>
    <w:rsid w:val="00F0528D"/>
    <w:rsid w:val="00F06C67"/>
    <w:rsid w:val="00F06DFD"/>
    <w:rsid w:val="00F071D1"/>
    <w:rsid w:val="00F07533"/>
    <w:rsid w:val="00F10629"/>
    <w:rsid w:val="00F13C21"/>
    <w:rsid w:val="00F15FA5"/>
    <w:rsid w:val="00F209B7"/>
    <w:rsid w:val="00F2376F"/>
    <w:rsid w:val="00F243D8"/>
    <w:rsid w:val="00F30828"/>
    <w:rsid w:val="00F313D6"/>
    <w:rsid w:val="00F40F0C"/>
    <w:rsid w:val="00F4766C"/>
    <w:rsid w:val="00F50548"/>
    <w:rsid w:val="00F507D1"/>
    <w:rsid w:val="00F519CE"/>
    <w:rsid w:val="00F51ADA"/>
    <w:rsid w:val="00F541A0"/>
    <w:rsid w:val="00F607C5"/>
    <w:rsid w:val="00F60DEA"/>
    <w:rsid w:val="00F6302A"/>
    <w:rsid w:val="00F649D2"/>
    <w:rsid w:val="00F64C2B"/>
    <w:rsid w:val="00F651BE"/>
    <w:rsid w:val="00F65DDA"/>
    <w:rsid w:val="00F67F53"/>
    <w:rsid w:val="00F703BE"/>
    <w:rsid w:val="00F7085A"/>
    <w:rsid w:val="00F710F3"/>
    <w:rsid w:val="00F71A8D"/>
    <w:rsid w:val="00F71F69"/>
    <w:rsid w:val="00F72B72"/>
    <w:rsid w:val="00F74BB9"/>
    <w:rsid w:val="00F75582"/>
    <w:rsid w:val="00F76EFA"/>
    <w:rsid w:val="00F80262"/>
    <w:rsid w:val="00F804BE"/>
    <w:rsid w:val="00F817CE"/>
    <w:rsid w:val="00F8456C"/>
    <w:rsid w:val="00F859D8"/>
    <w:rsid w:val="00F868F5"/>
    <w:rsid w:val="00F9056A"/>
    <w:rsid w:val="00F90F8D"/>
    <w:rsid w:val="00F92782"/>
    <w:rsid w:val="00F93AA9"/>
    <w:rsid w:val="00F96985"/>
    <w:rsid w:val="00F97838"/>
    <w:rsid w:val="00FA2BB3"/>
    <w:rsid w:val="00FB1749"/>
    <w:rsid w:val="00FB41BE"/>
    <w:rsid w:val="00FB4C80"/>
    <w:rsid w:val="00FB6A6A"/>
    <w:rsid w:val="00FC7429"/>
    <w:rsid w:val="00FD07F6"/>
    <w:rsid w:val="00FD1EC8"/>
    <w:rsid w:val="00FD4298"/>
    <w:rsid w:val="00FD47ED"/>
    <w:rsid w:val="00FD74DB"/>
    <w:rsid w:val="00FD7660"/>
    <w:rsid w:val="00FE0655"/>
    <w:rsid w:val="00FE2365"/>
    <w:rsid w:val="00FE4C7B"/>
    <w:rsid w:val="00FE7336"/>
    <w:rsid w:val="00FE787C"/>
    <w:rsid w:val="00FF45A5"/>
    <w:rsid w:val="00FF4D9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customStyle="1" w:styleId="Doc-text2">
    <w:name w:val="Doc-text2"/>
    <w:basedOn w:val="Normal"/>
    <w:link w:val="Doc-text2Char"/>
    <w:qFormat/>
    <w:rsid w:val="004E7A9A"/>
    <w:pPr>
      <w:tabs>
        <w:tab w:val="left" w:pos="1622"/>
      </w:tabs>
      <w:overflowPunct/>
      <w:autoSpaceDE/>
      <w:autoSpaceDN/>
      <w:adjustRightInd/>
      <w:spacing w:after="0" w:line="276" w:lineRule="auto"/>
      <w:ind w:left="1622" w:hanging="363"/>
      <w:jc w:val="left"/>
      <w:textAlignment w:val="auto"/>
    </w:pPr>
    <w:rPr>
      <w:szCs w:val="24"/>
      <w:lang w:eastAsia="en-GB"/>
    </w:rPr>
  </w:style>
  <w:style w:type="character" w:customStyle="1" w:styleId="Doc-text2Char">
    <w:name w:val="Doc-text2 Char"/>
    <w:link w:val="Doc-text2"/>
    <w:rsid w:val="004E7A9A"/>
    <w:rPr>
      <w:rFonts w:ascii="Arial" w:eastAsia="MS Mincho" w:hAnsi="Arial"/>
      <w:szCs w:val="24"/>
      <w:lang w:val="en-GB" w:eastAsia="en-GB"/>
    </w:rPr>
  </w:style>
  <w:style w:type="paragraph" w:customStyle="1" w:styleId="Doc-title">
    <w:name w:val="Doc-title"/>
    <w:basedOn w:val="Normal"/>
    <w:next w:val="Doc-text2"/>
    <w:link w:val="Doc-titleChar"/>
    <w:qFormat/>
    <w:rsid w:val="004E7A9A"/>
    <w:pPr>
      <w:overflowPunct/>
      <w:autoSpaceDE/>
      <w:autoSpaceDN/>
      <w:adjustRightInd/>
      <w:spacing w:before="60" w:after="0" w:line="276" w:lineRule="auto"/>
      <w:ind w:left="1259" w:hanging="1259"/>
      <w:jc w:val="left"/>
      <w:textAlignment w:val="auto"/>
    </w:pPr>
    <w:rPr>
      <w:noProof/>
      <w:szCs w:val="24"/>
      <w:lang w:eastAsia="en-GB"/>
    </w:rPr>
  </w:style>
  <w:style w:type="character" w:customStyle="1" w:styleId="Doc-titleChar">
    <w:name w:val="Doc-title Char"/>
    <w:link w:val="Doc-title"/>
    <w:rsid w:val="004E7A9A"/>
    <w:rPr>
      <w:rFonts w:ascii="Arial" w:eastAsia="MS Mincho" w:hAnsi="Arial"/>
      <w:noProof/>
      <w:szCs w:val="24"/>
      <w:lang w:val="en-GB" w:eastAsia="en-GB"/>
    </w:rPr>
  </w:style>
  <w:style w:type="character" w:customStyle="1" w:styleId="FooterChar">
    <w:name w:val="Footer Char"/>
    <w:link w:val="Footer"/>
    <w:semiHidden/>
    <w:rsid w:val="00F80262"/>
    <w:rPr>
      <w:rFonts w:ascii="Arial" w:hAnsi="Arial" w:cs="Arial"/>
      <w:b/>
      <w:bCs/>
      <w:i/>
      <w:iCs/>
      <w:noProof/>
      <w:sz w:val="18"/>
      <w:szCs w:val="18"/>
      <w:lang w:val="en-US" w:eastAsia="zh-CN"/>
    </w:rPr>
  </w:style>
  <w:style w:type="paragraph" w:customStyle="1" w:styleId="CRCoverPage">
    <w:name w:val="CR Cover Page"/>
    <w:rsid w:val="00F80262"/>
    <w:pPr>
      <w:spacing w:after="120"/>
    </w:pPr>
    <w:rPr>
      <w:rFonts w:ascii="Arial" w:hAnsi="Arial"/>
      <w:lang w:val="en-GB"/>
    </w:rPr>
  </w:style>
  <w:style w:type="character" w:customStyle="1" w:styleId="hvr">
    <w:name w:val="hvr"/>
    <w:basedOn w:val="DefaultParagraphFont"/>
    <w:rsid w:val="00A632E1"/>
  </w:style>
  <w:style w:type="character" w:customStyle="1" w:styleId="apple-converted-space">
    <w:name w:val="apple-converted-space"/>
    <w:basedOn w:val="DefaultParagraphFont"/>
    <w:rsid w:val="00A632E1"/>
  </w:style>
  <w:style w:type="paragraph" w:styleId="ListParagraph">
    <w:name w:val="List Paragraph"/>
    <w:basedOn w:val="Normal"/>
    <w:uiPriority w:val="34"/>
    <w:qFormat/>
    <w:rsid w:val="00445C64"/>
    <w:pPr>
      <w:overflowPunct/>
      <w:autoSpaceDE/>
      <w:autoSpaceDN/>
      <w:adjustRightInd/>
      <w:spacing w:after="0"/>
      <w:ind w:left="720"/>
      <w:jc w:val="left"/>
      <w:textAlignment w:val="auto"/>
    </w:pPr>
    <w:rPr>
      <w:rFonts w:ascii="Times New Roman" w:eastAsiaTheme="minorHAnsi" w:hAnsi="Times New Roman"/>
      <w:color w:val="000000"/>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customStyle="1" w:styleId="Doc-text2">
    <w:name w:val="Doc-text2"/>
    <w:basedOn w:val="Normal"/>
    <w:link w:val="Doc-text2Char"/>
    <w:qFormat/>
    <w:rsid w:val="004E7A9A"/>
    <w:pPr>
      <w:tabs>
        <w:tab w:val="left" w:pos="1622"/>
      </w:tabs>
      <w:overflowPunct/>
      <w:autoSpaceDE/>
      <w:autoSpaceDN/>
      <w:adjustRightInd/>
      <w:spacing w:after="0" w:line="276" w:lineRule="auto"/>
      <w:ind w:left="1622" w:hanging="363"/>
      <w:jc w:val="left"/>
      <w:textAlignment w:val="auto"/>
    </w:pPr>
    <w:rPr>
      <w:szCs w:val="24"/>
      <w:lang w:eastAsia="en-GB"/>
    </w:rPr>
  </w:style>
  <w:style w:type="character" w:customStyle="1" w:styleId="Doc-text2Char">
    <w:name w:val="Doc-text2 Char"/>
    <w:link w:val="Doc-text2"/>
    <w:rsid w:val="004E7A9A"/>
    <w:rPr>
      <w:rFonts w:ascii="Arial" w:eastAsia="MS Mincho" w:hAnsi="Arial"/>
      <w:szCs w:val="24"/>
      <w:lang w:val="en-GB" w:eastAsia="en-GB"/>
    </w:rPr>
  </w:style>
  <w:style w:type="paragraph" w:customStyle="1" w:styleId="Doc-title">
    <w:name w:val="Doc-title"/>
    <w:basedOn w:val="Normal"/>
    <w:next w:val="Doc-text2"/>
    <w:link w:val="Doc-titleChar"/>
    <w:qFormat/>
    <w:rsid w:val="004E7A9A"/>
    <w:pPr>
      <w:overflowPunct/>
      <w:autoSpaceDE/>
      <w:autoSpaceDN/>
      <w:adjustRightInd/>
      <w:spacing w:before="60" w:after="0" w:line="276" w:lineRule="auto"/>
      <w:ind w:left="1259" w:hanging="1259"/>
      <w:jc w:val="left"/>
      <w:textAlignment w:val="auto"/>
    </w:pPr>
    <w:rPr>
      <w:noProof/>
      <w:szCs w:val="24"/>
      <w:lang w:eastAsia="en-GB"/>
    </w:rPr>
  </w:style>
  <w:style w:type="character" w:customStyle="1" w:styleId="Doc-titleChar">
    <w:name w:val="Doc-title Char"/>
    <w:link w:val="Doc-title"/>
    <w:rsid w:val="004E7A9A"/>
    <w:rPr>
      <w:rFonts w:ascii="Arial" w:eastAsia="MS Mincho" w:hAnsi="Arial"/>
      <w:noProof/>
      <w:szCs w:val="24"/>
      <w:lang w:val="en-GB" w:eastAsia="en-GB"/>
    </w:rPr>
  </w:style>
  <w:style w:type="character" w:customStyle="1" w:styleId="FooterChar">
    <w:name w:val="Footer Char"/>
    <w:link w:val="Footer"/>
    <w:semiHidden/>
    <w:rsid w:val="00F80262"/>
    <w:rPr>
      <w:rFonts w:ascii="Arial" w:hAnsi="Arial" w:cs="Arial"/>
      <w:b/>
      <w:bCs/>
      <w:i/>
      <w:iCs/>
      <w:noProof/>
      <w:sz w:val="18"/>
      <w:szCs w:val="18"/>
      <w:lang w:val="en-US" w:eastAsia="zh-CN"/>
    </w:rPr>
  </w:style>
  <w:style w:type="paragraph" w:customStyle="1" w:styleId="CRCoverPage">
    <w:name w:val="CR Cover Page"/>
    <w:rsid w:val="00F80262"/>
    <w:pPr>
      <w:spacing w:after="120"/>
    </w:pPr>
    <w:rPr>
      <w:rFonts w:ascii="Arial" w:hAnsi="Arial"/>
      <w:lang w:val="en-GB"/>
    </w:rPr>
  </w:style>
  <w:style w:type="character" w:customStyle="1" w:styleId="hvr">
    <w:name w:val="hvr"/>
    <w:basedOn w:val="DefaultParagraphFont"/>
    <w:rsid w:val="00A632E1"/>
  </w:style>
  <w:style w:type="character" w:customStyle="1" w:styleId="apple-converted-space">
    <w:name w:val="apple-converted-space"/>
    <w:basedOn w:val="DefaultParagraphFont"/>
    <w:rsid w:val="00A632E1"/>
  </w:style>
  <w:style w:type="paragraph" w:styleId="ListParagraph">
    <w:name w:val="List Paragraph"/>
    <w:basedOn w:val="Normal"/>
    <w:uiPriority w:val="34"/>
    <w:qFormat/>
    <w:rsid w:val="00445C64"/>
    <w:pPr>
      <w:overflowPunct/>
      <w:autoSpaceDE/>
      <w:autoSpaceDN/>
      <w:adjustRightInd/>
      <w:spacing w:after="0"/>
      <w:ind w:left="720"/>
      <w:jc w:val="left"/>
      <w:textAlignment w:val="auto"/>
    </w:pPr>
    <w:rPr>
      <w:rFonts w:ascii="Times New Roman" w:eastAsiaTheme="minorHAnsi" w:hAnsi="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292385">
      <w:bodyDiv w:val="1"/>
      <w:marLeft w:val="0"/>
      <w:marRight w:val="0"/>
      <w:marTop w:val="0"/>
      <w:marBottom w:val="0"/>
      <w:divBdr>
        <w:top w:val="none" w:sz="0" w:space="0" w:color="auto"/>
        <w:left w:val="none" w:sz="0" w:space="0" w:color="auto"/>
        <w:bottom w:val="none" w:sz="0" w:space="0" w:color="auto"/>
        <w:right w:val="none" w:sz="0" w:space="0" w:color="auto"/>
      </w:divBdr>
    </w:div>
    <w:div w:id="1171026933">
      <w:bodyDiv w:val="1"/>
      <w:marLeft w:val="0"/>
      <w:marRight w:val="0"/>
      <w:marTop w:val="0"/>
      <w:marBottom w:val="0"/>
      <w:divBdr>
        <w:top w:val="none" w:sz="0" w:space="0" w:color="auto"/>
        <w:left w:val="none" w:sz="0" w:space="0" w:color="auto"/>
        <w:bottom w:val="none" w:sz="0" w:space="0" w:color="auto"/>
        <w:right w:val="none" w:sz="0" w:space="0" w:color="auto"/>
      </w:divBdr>
    </w:div>
    <w:div w:id="1278486550">
      <w:bodyDiv w:val="1"/>
      <w:marLeft w:val="0"/>
      <w:marRight w:val="0"/>
      <w:marTop w:val="0"/>
      <w:marBottom w:val="0"/>
      <w:divBdr>
        <w:top w:val="none" w:sz="0" w:space="0" w:color="auto"/>
        <w:left w:val="none" w:sz="0" w:space="0" w:color="auto"/>
        <w:bottom w:val="none" w:sz="0" w:space="0" w:color="auto"/>
        <w:right w:val="none" w:sz="0" w:space="0" w:color="auto"/>
      </w:divBdr>
    </w:div>
    <w:div w:id="1843086154">
      <w:bodyDiv w:val="1"/>
      <w:marLeft w:val="0"/>
      <w:marRight w:val="0"/>
      <w:marTop w:val="0"/>
      <w:marBottom w:val="0"/>
      <w:divBdr>
        <w:top w:val="none" w:sz="0" w:space="0" w:color="auto"/>
        <w:left w:val="none" w:sz="0" w:space="0" w:color="auto"/>
        <w:bottom w:val="none" w:sz="0" w:space="0" w:color="auto"/>
        <w:right w:val="none" w:sz="0" w:space="0" w:color="auto"/>
      </w:divBdr>
    </w:div>
    <w:div w:id="193050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ftp://ftp.3gpp.org/tsg_ran/WG2_RL2/TSGR2_89/Docs/R2-150466.zip" TargetMode="External"/><Relationship Id="rId4" Type="http://schemas.microsoft.com/office/2007/relationships/stylesWithEffects" Target="stylesWithEffects.xml"/><Relationship Id="rId9" Type="http://schemas.openxmlformats.org/officeDocument/2006/relationships/hyperlink" Target="ftp://ftp.3gpp.org/tsg_ran/WG2_RL2/TSGR2_88/Docs//R2-145163.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CBF3C-FD23-4BCE-811C-CF81DE535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5</Pages>
  <Words>1895</Words>
  <Characters>10044</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11916</CharactersWithSpaces>
  <SharedDoc>false</SharedDoc>
  <HLinks>
    <vt:vector size="12" baseType="variant">
      <vt:variant>
        <vt:i4>6684683</vt:i4>
      </vt:variant>
      <vt:variant>
        <vt:i4>3</vt:i4>
      </vt:variant>
      <vt:variant>
        <vt:i4>0</vt:i4>
      </vt:variant>
      <vt:variant>
        <vt:i4>5</vt:i4>
      </vt:variant>
      <vt:variant>
        <vt:lpwstr>ftp://ftp.3gpp.org/tsg_ran/WG2_RL2/TSGR2_89/Docs/R2-150466.zip</vt:lpwstr>
      </vt:variant>
      <vt:variant>
        <vt:lpwstr/>
      </vt:variant>
      <vt:variant>
        <vt:i4>7077979</vt:i4>
      </vt:variant>
      <vt:variant>
        <vt:i4>0</vt:i4>
      </vt:variant>
      <vt:variant>
        <vt:i4>0</vt:i4>
      </vt:variant>
      <vt:variant>
        <vt:i4>5</vt:i4>
      </vt:variant>
      <vt:variant>
        <vt:lpwstr>ftp://ftp.3gpp.org/tsg_ran/WG2_RL2/TSGR2_88/Docs//R2-145163.zip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2</cp:revision>
  <cp:lastPrinted>2008-01-31T07:09:00Z</cp:lastPrinted>
  <dcterms:created xsi:type="dcterms:W3CDTF">2015-04-14T04:17:00Z</dcterms:created>
  <dcterms:modified xsi:type="dcterms:W3CDTF">2015-04-14T04:17:00Z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sflag">
    <vt:lpwstr>1427436260</vt:lpwstr>
  </property>
</Properties>
</file>